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val="0"/>
        <w:spacing w:beforeLines="0" w:after="0" w:afterLines="0"/>
        <w:textAlignment w:val="auto"/>
        <w:outlineLvl w:val="0"/>
        <w:rPr>
          <w:rFonts w:hint="default" w:ascii="Arial" w:hAnsi="Arial" w:cs="Arial"/>
          <w:b/>
          <w:color w:val="auto"/>
          <w:sz w:val="24"/>
          <w:szCs w:val="24"/>
          <w:lang w:val="en-US" w:eastAsia="zh-CN"/>
        </w:rPr>
      </w:pPr>
      <w:bookmarkStart w:id="0" w:name="_Hlt450066085"/>
      <w:bookmarkEnd w:id="0"/>
      <w:bookmarkStart w:id="1" w:name="_Hlt450039480"/>
      <w:bookmarkEnd w:id="1"/>
      <w:bookmarkStart w:id="2" w:name="_Hlt449016246"/>
      <w:bookmarkEnd w:id="2"/>
      <w:bookmarkStart w:id="3" w:name="_Hlt450051172"/>
      <w:bookmarkEnd w:id="3"/>
      <w:bookmarkStart w:id="4" w:name="_Hlt450066087"/>
      <w:bookmarkEnd w:id="4"/>
      <w:bookmarkStart w:id="5" w:name="_Hlt448930105"/>
      <w:bookmarkEnd w:id="5"/>
      <w:bookmarkStart w:id="6" w:name="OLE_LINK49"/>
      <w:bookmarkStart w:id="7" w:name="OLE_LINK111"/>
      <w:r>
        <w:rPr>
          <w:rFonts w:hint="eastAsia" w:ascii="Arial" w:hAnsi="Arial" w:cs="Arial"/>
          <w:b/>
          <w:color w:val="auto"/>
          <w:sz w:val="24"/>
          <w:szCs w:val="24"/>
          <w:lang w:val="en-US" w:eastAsia="zh-CN"/>
        </w:rPr>
        <w:t>3GPP TSG-RAN WG4 Meeting # 112-bis</w:t>
      </w:r>
      <w:r>
        <w:rPr>
          <w:rFonts w:hint="eastAsia" w:ascii="Arial" w:hAnsi="Arial" w:cs="Arial"/>
          <w:b/>
          <w:color w:val="auto"/>
          <w:sz w:val="24"/>
          <w:szCs w:val="24"/>
          <w:lang w:val="en-US" w:eastAsia="zh-CN"/>
        </w:rPr>
        <w:tab/>
      </w:r>
      <w:r>
        <w:rPr>
          <w:rFonts w:hint="eastAsia" w:ascii="Arial" w:hAnsi="Arial" w:cs="Arial"/>
          <w:b/>
          <w:color w:val="auto"/>
          <w:sz w:val="24"/>
          <w:szCs w:val="24"/>
          <w:lang w:val="en-US" w:eastAsia="zh-CN"/>
        </w:rPr>
        <w:t>R4-2416012</w:t>
      </w:r>
    </w:p>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val="0"/>
        <w:spacing w:beforeLines="0" w:after="0" w:afterLines="0"/>
        <w:textAlignment w:val="auto"/>
        <w:outlineLvl w:val="0"/>
        <w:rPr>
          <w:rFonts w:hint="eastAsia" w:ascii="Arial" w:hAnsi="Arial" w:cs="Arial"/>
          <w:b/>
          <w:color w:val="auto"/>
          <w:sz w:val="24"/>
          <w:szCs w:val="24"/>
          <w:lang w:val="en-GB" w:eastAsia="en-GB"/>
        </w:rPr>
      </w:pPr>
      <w:r>
        <w:rPr>
          <w:rFonts w:hint="eastAsia" w:ascii="Arial" w:hAnsi="Arial" w:cs="Arial"/>
          <w:b/>
          <w:color w:val="auto"/>
          <w:sz w:val="24"/>
          <w:szCs w:val="24"/>
          <w:lang w:val="en-US" w:eastAsia="zh-CN"/>
        </w:rPr>
        <w:t>Hefei, China, Oct.14th – 18th, 2024</w:t>
      </w:r>
    </w:p>
    <w:bookmarkEnd w:id="6"/>
    <w:bookmarkEnd w:id="7"/>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val="0"/>
        <w:tabs>
          <w:tab w:val="left" w:pos="1985"/>
        </w:tabs>
        <w:kinsoku/>
        <w:wordWrap/>
        <w:overflowPunct/>
        <w:topLinePunct w:val="0"/>
        <w:autoSpaceDE/>
        <w:autoSpaceDN/>
        <w:bidi w:val="0"/>
        <w:adjustRightInd/>
        <w:spacing w:before="120" w:after="120"/>
        <w:ind w:left="482" w:hanging="482" w:hangingChars="20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On MSD requirements with intra-band contiguous UL CA</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5.3.3</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bookmarkStart w:id="8" w:name="OLE_LINK17"/>
      <w:bookmarkStart w:id="9" w:name="OLE_LINK25"/>
      <w:r>
        <w:rPr>
          <w:rFonts w:hint="eastAsia" w:cs="Times New Roman"/>
          <w:sz w:val="20"/>
          <w:szCs w:val="20"/>
          <w:lang w:val="en-US" w:eastAsia="zh-CN"/>
        </w:rPr>
        <w:t xml:space="preserve">In WF[1], the issue on </w:t>
      </w:r>
      <w:bookmarkStart w:id="10" w:name="OLE_LINK42"/>
      <w:r>
        <w:rPr>
          <w:rFonts w:hint="eastAsia" w:cs="Times New Roman"/>
          <w:sz w:val="20"/>
          <w:szCs w:val="20"/>
          <w:lang w:val="en-US" w:eastAsia="zh-CN"/>
        </w:rPr>
        <w:t xml:space="preserve">the MSD requirements with intra-band contiguous UL CA </w:t>
      </w:r>
      <w:bookmarkEnd w:id="10"/>
      <w:r>
        <w:rPr>
          <w:rFonts w:hint="eastAsia" w:cs="Times New Roman"/>
          <w:sz w:val="20"/>
          <w:szCs w:val="20"/>
          <w:lang w:val="en-US" w:eastAsia="zh-CN"/>
        </w:rPr>
        <w:t>was raised, see the proposals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b/>
                <w:bCs/>
                <w:i/>
                <w:iCs/>
                <w:kern w:val="0"/>
                <w:sz w:val="20"/>
                <w:lang w:val="en-GB" w:eastAsia="en-US"/>
              </w:rPr>
            </w:pPr>
            <w:r>
              <w:rPr>
                <w:rFonts w:ascii="Arial" w:hAnsi="Arial" w:eastAsia="PMingLiU" w:cs="Arial"/>
                <w:b/>
                <w:bCs/>
                <w:i/>
                <w:iCs/>
                <w:kern w:val="0"/>
                <w:sz w:val="20"/>
                <w:lang w:val="en-GB" w:eastAsia="en-US"/>
              </w:rPr>
              <w:t xml:space="preserve">Proposal 1: </w:t>
            </w:r>
            <w:r>
              <w:rPr>
                <w:rFonts w:ascii="Arial" w:hAnsi="Arial" w:eastAsia="PMingLiU" w:cs="Arial"/>
                <w:i/>
                <w:iCs/>
                <w:kern w:val="0"/>
                <w:sz w:val="20"/>
                <w:lang w:val="en-GB" w:eastAsia="en-US"/>
              </w:rPr>
              <w:t xml:space="preserve">Companies are encouraged to consider the following options for handling the MSD requirements resulting from intra-band contiguous UL CA configured </w:t>
            </w:r>
            <w:r>
              <w:rPr>
                <w:rFonts w:ascii="Arial" w:hAnsi="Arial" w:eastAsia="PMingLiU" w:cs="Arial"/>
                <w:kern w:val="0"/>
                <w:sz w:val="20"/>
                <w:lang w:val="en-GB" w:eastAsia="en-US"/>
              </w:rPr>
              <w:t>with non-contiguous allocations:</w:t>
            </w:r>
            <w:r>
              <w:rPr>
                <w:rFonts w:ascii="Arial" w:hAnsi="Arial" w:eastAsia="PMingLiU" w:cs="Arial"/>
                <w:i/>
                <w:iCs/>
                <w:kern w:val="0"/>
                <w:sz w:val="20"/>
                <w:lang w:val="en-GB" w:eastAsia="en-US"/>
              </w:rPr>
              <w:t xml:space="preserve">   </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b/>
                <w:bCs/>
                <w:i/>
                <w:iCs/>
                <w:kern w:val="0"/>
                <w:sz w:val="20"/>
                <w:lang w:val="en-GB" w:eastAsia="en-US"/>
              </w:rPr>
            </w:pPr>
          </w:p>
          <w:p>
            <w:pPr>
              <w:keepNext/>
              <w:keepLines/>
              <w:pageBreakBefore w:val="0"/>
              <w:kinsoku/>
              <w:wordWrap/>
              <w:overflowPunct/>
              <w:topLinePunct w:val="0"/>
              <w:autoSpaceDE/>
              <w:autoSpaceDN/>
              <w:bidi w:val="0"/>
              <w:adjustRightInd/>
              <w:spacing w:beforeLines="-2147483648" w:after="0" w:afterLines="-2147483648" w:line="240" w:lineRule="auto"/>
              <w:ind w:left="284"/>
              <w:jc w:val="both"/>
              <w:textAlignment w:val="auto"/>
              <w:rPr>
                <w:rFonts w:ascii="Arial" w:hAnsi="Arial" w:eastAsia="PMingLiU" w:cs="Arial"/>
                <w:b/>
                <w:bCs/>
                <w:i/>
                <w:iCs/>
                <w:kern w:val="0"/>
                <w:sz w:val="20"/>
                <w:lang w:val="en-GB" w:eastAsia="en-US"/>
              </w:rPr>
            </w:pPr>
            <w:r>
              <w:rPr>
                <w:rFonts w:ascii="Arial" w:hAnsi="Arial" w:eastAsia="PMingLiU" w:cs="Arial"/>
                <w:b/>
                <w:bCs/>
                <w:i/>
                <w:iCs/>
                <w:kern w:val="0"/>
                <w:sz w:val="20"/>
                <w:lang w:val="en-GB" w:eastAsia="en-US"/>
              </w:rPr>
              <w:t xml:space="preserve">Option 1: </w:t>
            </w:r>
            <w:r>
              <w:rPr>
                <w:rFonts w:ascii="Arial" w:hAnsi="Arial" w:eastAsia="PMingLiU" w:cs="Arial"/>
                <w:i/>
                <w:iCs/>
                <w:kern w:val="0"/>
                <w:sz w:val="20"/>
                <w:lang w:val="en-GB" w:eastAsia="en-US"/>
              </w:rPr>
              <w:t xml:space="preserve">No change from TR 38.862 guidelines </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b/>
                <w:bCs/>
                <w:i/>
                <w:iCs/>
                <w:kern w:val="0"/>
                <w:sz w:val="20"/>
                <w:lang w:val="en-GB" w:eastAsia="en-US"/>
              </w:rPr>
            </w:pPr>
          </w:p>
          <w:p>
            <w:pPr>
              <w:keepNext/>
              <w:keepLines/>
              <w:pageBreakBefore w:val="0"/>
              <w:kinsoku/>
              <w:wordWrap/>
              <w:overflowPunct/>
              <w:topLinePunct w:val="0"/>
              <w:autoSpaceDE/>
              <w:autoSpaceDN/>
              <w:bidi w:val="0"/>
              <w:adjustRightInd/>
              <w:spacing w:beforeLines="-2147483648" w:after="0" w:afterLines="-2147483648" w:line="240" w:lineRule="auto"/>
              <w:ind w:left="288"/>
              <w:jc w:val="both"/>
              <w:textAlignment w:val="auto"/>
              <w:rPr>
                <w:rFonts w:ascii="Arial" w:hAnsi="Arial" w:eastAsia="PMingLiU" w:cs="Arial"/>
                <w:kern w:val="0"/>
                <w:sz w:val="20"/>
                <w:lang w:val="en-GB" w:eastAsia="en-US"/>
              </w:rPr>
            </w:pPr>
            <w:r>
              <w:rPr>
                <w:rFonts w:ascii="Arial" w:hAnsi="Arial" w:eastAsia="PMingLiU" w:cs="Arial"/>
                <w:b/>
                <w:bCs/>
                <w:i/>
                <w:iCs/>
                <w:kern w:val="0"/>
                <w:sz w:val="20"/>
                <w:lang w:val="en-GB" w:eastAsia="en-US"/>
              </w:rPr>
              <w:t>Option 2</w:t>
            </w:r>
            <w:r>
              <w:rPr>
                <w:rFonts w:ascii="Arial" w:hAnsi="Arial" w:eastAsia="PMingLiU" w:cs="Arial"/>
                <w:i/>
                <w:iCs/>
                <w:kern w:val="0"/>
                <w:sz w:val="20"/>
                <w:lang w:val="en-GB" w:eastAsia="en-US"/>
              </w:rPr>
              <w:t xml:space="preserve">: Do not consider all MSD requirements resulting from intra-band contiguous UL CA configured </w:t>
            </w:r>
            <w:r>
              <w:rPr>
                <w:rFonts w:ascii="Arial" w:hAnsi="Arial" w:eastAsia="PMingLiU" w:cs="Arial"/>
                <w:kern w:val="0"/>
                <w:sz w:val="20"/>
                <w:lang w:val="en-GB" w:eastAsia="en-US"/>
              </w:rPr>
              <w:t>with non-contiguous allocations.</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kern w:val="0"/>
                <w:sz w:val="20"/>
                <w:lang w:val="en-GB" w:eastAsia="en-US"/>
              </w:rPr>
            </w:pPr>
          </w:p>
          <w:p>
            <w:pPr>
              <w:keepNext/>
              <w:keepLines/>
              <w:pageBreakBefore w:val="0"/>
              <w:kinsoku/>
              <w:wordWrap/>
              <w:overflowPunct/>
              <w:topLinePunct w:val="0"/>
              <w:autoSpaceDE/>
              <w:autoSpaceDN/>
              <w:bidi w:val="0"/>
              <w:adjustRightInd/>
              <w:spacing w:beforeLines="-2147483648" w:after="120" w:afterLines="-2147483648" w:line="240" w:lineRule="auto"/>
              <w:ind w:left="284"/>
              <w:jc w:val="both"/>
              <w:textAlignment w:val="auto"/>
              <w:rPr>
                <w:rFonts w:ascii="Arial" w:hAnsi="Arial" w:eastAsia="PMingLiU" w:cs="Arial"/>
                <w:kern w:val="0"/>
                <w:sz w:val="20"/>
                <w:lang w:val="en-GB" w:eastAsia="en-US"/>
              </w:rPr>
            </w:pPr>
            <w:r>
              <w:rPr>
                <w:rFonts w:ascii="Arial" w:hAnsi="Arial" w:eastAsia="PMingLiU" w:cs="Arial"/>
                <w:b/>
                <w:bCs/>
                <w:i/>
                <w:iCs/>
                <w:kern w:val="0"/>
                <w:sz w:val="20"/>
                <w:lang w:val="en-GB" w:eastAsia="en-US"/>
              </w:rPr>
              <w:t xml:space="preserve">Option 3: </w:t>
            </w:r>
            <w:r>
              <w:rPr>
                <w:rFonts w:ascii="Arial" w:hAnsi="Arial" w:eastAsia="PMingLiU" w:cs="Arial"/>
                <w:i/>
                <w:iCs/>
                <w:kern w:val="0"/>
                <w:sz w:val="20"/>
                <w:lang w:val="en-GB" w:eastAsia="en-US"/>
              </w:rPr>
              <w:t xml:space="preserve">Do not consider only the MSD requirements resulting from intra-band contiguous UL CA configured </w:t>
            </w:r>
            <w:r>
              <w:rPr>
                <w:rFonts w:ascii="Arial" w:hAnsi="Arial" w:eastAsia="PMingLiU" w:cs="Arial"/>
                <w:kern w:val="0"/>
                <w:sz w:val="20"/>
                <w:lang w:val="en-GB" w:eastAsia="en-US"/>
              </w:rPr>
              <w:t>with 1RB+1RB allocations.</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kern w:val="0"/>
                <w:sz w:val="20"/>
                <w:lang w:val="en-GB" w:eastAsia="en-US"/>
              </w:rPr>
            </w:pP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i/>
                <w:iCs/>
                <w:kern w:val="0"/>
                <w:sz w:val="20"/>
                <w:lang w:val="en-US" w:eastAsia="en-US"/>
              </w:rPr>
            </w:pPr>
            <w:r>
              <w:rPr>
                <w:rFonts w:ascii="Arial" w:hAnsi="Arial" w:eastAsia="PMingLiU" w:cs="Arial"/>
                <w:b/>
                <w:bCs/>
                <w:i/>
                <w:iCs/>
                <w:kern w:val="0"/>
                <w:sz w:val="20"/>
                <w:lang w:val="en-GB" w:eastAsia="en-US"/>
              </w:rPr>
              <w:t xml:space="preserve">Proposal 2: </w:t>
            </w:r>
            <w:r>
              <w:rPr>
                <w:rFonts w:ascii="Arial" w:hAnsi="Arial" w:eastAsia="PMingLiU" w:cs="Arial"/>
                <w:i/>
                <w:iCs/>
                <w:kern w:val="0"/>
                <w:sz w:val="20"/>
                <w:lang w:val="en-GB" w:eastAsia="en-US"/>
              </w:rPr>
              <w:t xml:space="preserve">If Option 2 or Option 3 in Proposal 1 would be considered, which release to start taking effect? </w:t>
            </w:r>
            <w:r>
              <w:rPr>
                <w:rFonts w:ascii="Arial" w:hAnsi="Arial" w:eastAsia="PMingLiU" w:cs="Arial"/>
                <w:i/>
                <w:iCs/>
                <w:kern w:val="0"/>
                <w:sz w:val="20"/>
                <w:lang w:val="en-US" w:eastAsia="en-US"/>
              </w:rPr>
              <w:t xml:space="preserve">  </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kern w:val="0"/>
                <w:sz w:val="20"/>
                <w:lang w:val="en-US" w:eastAsia="en-US"/>
              </w:rPr>
            </w:pPr>
          </w:p>
          <w:p>
            <w:pPr>
              <w:keepNext/>
              <w:keepLines/>
              <w:pageBreakBefore w:val="0"/>
              <w:kinsoku/>
              <w:wordWrap/>
              <w:overflowPunct/>
              <w:topLinePunct w:val="0"/>
              <w:autoSpaceDE/>
              <w:autoSpaceDN/>
              <w:bidi w:val="0"/>
              <w:adjustRightInd/>
              <w:spacing w:beforeLines="-2147483648" w:after="0" w:afterLines="-2147483648" w:line="240" w:lineRule="auto"/>
              <w:ind w:left="284"/>
              <w:jc w:val="both"/>
              <w:textAlignment w:val="auto"/>
              <w:rPr>
                <w:rFonts w:ascii="Arial" w:hAnsi="Arial" w:eastAsia="PMingLiU" w:cs="Arial"/>
                <w:b/>
                <w:bCs/>
                <w:i/>
                <w:iCs/>
                <w:kern w:val="0"/>
                <w:sz w:val="20"/>
                <w:lang w:val="en-GB" w:eastAsia="en-US"/>
              </w:rPr>
            </w:pPr>
            <w:r>
              <w:rPr>
                <w:rFonts w:ascii="Arial" w:hAnsi="Arial" w:eastAsia="PMingLiU" w:cs="Arial"/>
                <w:b/>
                <w:bCs/>
                <w:i/>
                <w:iCs/>
                <w:kern w:val="0"/>
                <w:sz w:val="20"/>
                <w:lang w:val="en-GB" w:eastAsia="en-US"/>
              </w:rPr>
              <w:t xml:space="preserve">Option 1: </w:t>
            </w:r>
            <w:r>
              <w:rPr>
                <w:rFonts w:ascii="Arial" w:hAnsi="Arial" w:eastAsia="PMingLiU" w:cs="Arial"/>
                <w:i/>
                <w:iCs/>
                <w:kern w:val="0"/>
                <w:sz w:val="20"/>
                <w:lang w:val="en-GB" w:eastAsia="en-US"/>
              </w:rPr>
              <w:t xml:space="preserve">From earliest release where such MSD requirements have been specified. </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b/>
                <w:bCs/>
                <w:i/>
                <w:iCs/>
                <w:kern w:val="0"/>
                <w:sz w:val="20"/>
                <w:lang w:val="en-GB" w:eastAsia="en-US"/>
              </w:rPr>
            </w:pPr>
          </w:p>
          <w:p>
            <w:pPr>
              <w:keepNext/>
              <w:keepLines/>
              <w:pageBreakBefore w:val="0"/>
              <w:kinsoku/>
              <w:wordWrap/>
              <w:overflowPunct/>
              <w:topLinePunct w:val="0"/>
              <w:autoSpaceDE/>
              <w:autoSpaceDN/>
              <w:bidi w:val="0"/>
              <w:adjustRightInd/>
              <w:spacing w:beforeLines="-2147483648" w:after="0" w:afterLines="-2147483648" w:line="240" w:lineRule="auto"/>
              <w:ind w:left="288"/>
              <w:jc w:val="both"/>
              <w:textAlignment w:val="auto"/>
              <w:rPr>
                <w:rFonts w:ascii="Arial" w:hAnsi="Arial" w:eastAsia="PMingLiU" w:cs="Arial"/>
                <w:kern w:val="0"/>
                <w:sz w:val="20"/>
                <w:lang w:val="en-GB" w:eastAsia="en-US"/>
              </w:rPr>
            </w:pPr>
            <w:r>
              <w:rPr>
                <w:rFonts w:ascii="Arial" w:hAnsi="Arial" w:eastAsia="PMingLiU" w:cs="Arial"/>
                <w:b/>
                <w:bCs/>
                <w:i/>
                <w:iCs/>
                <w:kern w:val="0"/>
                <w:sz w:val="20"/>
                <w:lang w:val="en-GB" w:eastAsia="en-US"/>
              </w:rPr>
              <w:t>Option 2</w:t>
            </w:r>
            <w:r>
              <w:rPr>
                <w:rFonts w:ascii="Arial" w:hAnsi="Arial" w:eastAsia="PMingLiU" w:cs="Arial"/>
                <w:i/>
                <w:iCs/>
                <w:kern w:val="0"/>
                <w:sz w:val="20"/>
                <w:lang w:val="en-GB" w:eastAsia="en-US"/>
              </w:rPr>
              <w:t>: Rel-18</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kern w:val="0"/>
                <w:sz w:val="20"/>
                <w:lang w:val="en-GB" w:eastAsia="en-US"/>
              </w:rPr>
            </w:pPr>
          </w:p>
          <w:p>
            <w:pPr>
              <w:keepNext/>
              <w:keepLines/>
              <w:pageBreakBefore w:val="0"/>
              <w:kinsoku/>
              <w:wordWrap/>
              <w:overflowPunct/>
              <w:topLinePunct w:val="0"/>
              <w:autoSpaceDE/>
              <w:autoSpaceDN/>
              <w:bidi w:val="0"/>
              <w:adjustRightInd/>
              <w:spacing w:beforeLines="-2147483648" w:after="120" w:afterLines="-2147483648" w:line="240" w:lineRule="auto"/>
              <w:ind w:left="284"/>
              <w:jc w:val="both"/>
              <w:textAlignment w:val="auto"/>
              <w:rPr>
                <w:rFonts w:ascii="Arial" w:hAnsi="Arial" w:eastAsia="PMingLiU" w:cs="Arial"/>
                <w:i/>
                <w:iCs/>
                <w:kern w:val="0"/>
                <w:sz w:val="20"/>
                <w:lang w:val="en-GB" w:eastAsia="en-US"/>
              </w:rPr>
            </w:pPr>
            <w:r>
              <w:rPr>
                <w:rFonts w:ascii="Arial" w:hAnsi="Arial" w:eastAsia="PMingLiU" w:cs="Arial"/>
                <w:b/>
                <w:bCs/>
                <w:i/>
                <w:iCs/>
                <w:kern w:val="0"/>
                <w:sz w:val="20"/>
                <w:lang w:val="en-GB" w:eastAsia="en-US"/>
              </w:rPr>
              <w:t xml:space="preserve">Option 3: </w:t>
            </w:r>
            <w:r>
              <w:rPr>
                <w:rFonts w:ascii="Arial" w:hAnsi="Arial" w:eastAsia="PMingLiU" w:cs="Arial"/>
                <w:i/>
                <w:iCs/>
                <w:kern w:val="0"/>
                <w:sz w:val="20"/>
                <w:lang w:val="en-GB" w:eastAsia="en-US"/>
              </w:rPr>
              <w:t>Rel-19</w:t>
            </w:r>
          </w:p>
          <w:p>
            <w:pPr>
              <w:keepNext/>
              <w:keepLines/>
              <w:pageBreakBefore w:val="0"/>
              <w:kinsoku/>
              <w:wordWrap/>
              <w:overflowPunct/>
              <w:topLinePunct w:val="0"/>
              <w:autoSpaceDE/>
              <w:autoSpaceDN/>
              <w:bidi w:val="0"/>
              <w:adjustRightInd/>
              <w:spacing w:beforeLines="-2147483648" w:after="0" w:afterLines="-2147483648" w:line="240" w:lineRule="auto"/>
              <w:ind w:left="288"/>
              <w:jc w:val="both"/>
              <w:textAlignment w:val="auto"/>
              <w:rPr>
                <w:rFonts w:ascii="Arial" w:hAnsi="Arial" w:eastAsia="PMingLiU" w:cs="Arial"/>
                <w:kern w:val="0"/>
                <w:sz w:val="20"/>
                <w:lang w:val="en-GB" w:eastAsia="en-US"/>
              </w:rPr>
            </w:pP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i/>
                <w:iCs/>
                <w:kern w:val="0"/>
                <w:sz w:val="20"/>
                <w:lang w:val="en-US" w:eastAsia="en-US"/>
              </w:rPr>
            </w:pPr>
            <w:r>
              <w:rPr>
                <w:rFonts w:ascii="Arial" w:hAnsi="Arial" w:eastAsia="PMingLiU" w:cs="Arial"/>
                <w:b/>
                <w:bCs/>
                <w:i/>
                <w:iCs/>
                <w:kern w:val="0"/>
                <w:sz w:val="20"/>
                <w:lang w:val="en-GB" w:eastAsia="en-US"/>
              </w:rPr>
              <w:t xml:space="preserve">Proposal 3: </w:t>
            </w:r>
            <w:r>
              <w:rPr>
                <w:rFonts w:ascii="Arial" w:hAnsi="Arial" w:eastAsia="PMingLiU" w:cs="Arial"/>
                <w:i/>
                <w:iCs/>
                <w:kern w:val="0"/>
                <w:sz w:val="20"/>
                <w:lang w:val="en-GB" w:eastAsia="en-US"/>
              </w:rPr>
              <w:t xml:space="preserve">Is there a need to introduce cross-band MSD requirements resulting from intra-band contiguous UL CA configured with fully allocated maximum aggregated BW? </w:t>
            </w:r>
            <w:r>
              <w:rPr>
                <w:rFonts w:ascii="Arial" w:hAnsi="Arial" w:eastAsia="PMingLiU" w:cs="Arial"/>
                <w:i/>
                <w:iCs/>
                <w:kern w:val="0"/>
                <w:sz w:val="20"/>
                <w:lang w:val="en-US" w:eastAsia="en-US"/>
              </w:rPr>
              <w:t xml:space="preserve">  </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kern w:val="0"/>
                <w:sz w:val="20"/>
                <w:lang w:val="en-US" w:eastAsia="en-US"/>
              </w:rPr>
            </w:pPr>
          </w:p>
          <w:p>
            <w:pPr>
              <w:keepNext/>
              <w:keepLines/>
              <w:pageBreakBefore w:val="0"/>
              <w:kinsoku/>
              <w:wordWrap/>
              <w:overflowPunct/>
              <w:topLinePunct w:val="0"/>
              <w:autoSpaceDE/>
              <w:autoSpaceDN/>
              <w:bidi w:val="0"/>
              <w:adjustRightInd/>
              <w:spacing w:beforeLines="-2147483648" w:after="0" w:afterLines="-2147483648" w:line="240" w:lineRule="auto"/>
              <w:ind w:left="284"/>
              <w:jc w:val="both"/>
              <w:textAlignment w:val="auto"/>
              <w:rPr>
                <w:rFonts w:ascii="Arial" w:hAnsi="Arial" w:eastAsia="PMingLiU" w:cs="Arial"/>
                <w:b/>
                <w:bCs/>
                <w:i/>
                <w:iCs/>
                <w:kern w:val="0"/>
                <w:sz w:val="20"/>
                <w:lang w:val="en-GB" w:eastAsia="en-US"/>
              </w:rPr>
            </w:pPr>
            <w:r>
              <w:rPr>
                <w:rFonts w:ascii="Arial" w:hAnsi="Arial" w:eastAsia="PMingLiU" w:cs="Arial"/>
                <w:b/>
                <w:bCs/>
                <w:i/>
                <w:iCs/>
                <w:kern w:val="0"/>
                <w:sz w:val="20"/>
                <w:lang w:val="en-GB" w:eastAsia="en-US"/>
              </w:rPr>
              <w:t xml:space="preserve">Option 1: </w:t>
            </w:r>
            <w:r>
              <w:rPr>
                <w:rFonts w:ascii="Arial" w:hAnsi="Arial" w:eastAsia="PMingLiU" w:cs="Arial"/>
                <w:i/>
                <w:iCs/>
                <w:kern w:val="0"/>
                <w:sz w:val="20"/>
                <w:lang w:val="en-GB" w:eastAsia="en-US"/>
              </w:rPr>
              <w:t xml:space="preserve">Yes </w:t>
            </w:r>
          </w:p>
          <w:p>
            <w:pPr>
              <w:keepNext/>
              <w:keepLines/>
              <w:pageBreakBefore w:val="0"/>
              <w:kinsoku/>
              <w:wordWrap/>
              <w:overflowPunct/>
              <w:topLinePunct w:val="0"/>
              <w:autoSpaceDE/>
              <w:autoSpaceDN/>
              <w:bidi w:val="0"/>
              <w:adjustRightInd/>
              <w:spacing w:beforeLines="-2147483648" w:after="0" w:afterLines="-2147483648" w:line="240" w:lineRule="auto"/>
              <w:jc w:val="both"/>
              <w:textAlignment w:val="auto"/>
              <w:rPr>
                <w:rFonts w:ascii="Arial" w:hAnsi="Arial" w:eastAsia="PMingLiU" w:cs="Arial"/>
                <w:b/>
                <w:bCs/>
                <w:i/>
                <w:iCs/>
                <w:kern w:val="0"/>
                <w:sz w:val="20"/>
                <w:lang w:val="en-GB" w:eastAsia="en-US"/>
              </w:rPr>
            </w:pPr>
          </w:p>
          <w:p>
            <w:pPr>
              <w:keepNext/>
              <w:keepLines/>
              <w:pageBreakBefore w:val="0"/>
              <w:kinsoku/>
              <w:wordWrap/>
              <w:overflowPunct/>
              <w:topLinePunct w:val="0"/>
              <w:autoSpaceDE/>
              <w:autoSpaceDN/>
              <w:bidi w:val="0"/>
              <w:adjustRightInd/>
              <w:spacing w:beforeLines="-2147483648" w:after="0" w:afterLines="-2147483648" w:line="240" w:lineRule="auto"/>
              <w:ind w:left="288"/>
              <w:jc w:val="both"/>
              <w:textAlignment w:val="auto"/>
              <w:rPr>
                <w:rFonts w:hint="default"/>
                <w:b w:val="0"/>
                <w:bCs w:val="0"/>
                <w:i w:val="0"/>
                <w:iCs w:val="0"/>
                <w:sz w:val="20"/>
                <w:szCs w:val="20"/>
                <w:highlight w:val="none"/>
                <w:vertAlign w:val="baseline"/>
                <w:lang w:val="en-US" w:eastAsia="zh-CN"/>
              </w:rPr>
            </w:pPr>
            <w:r>
              <w:rPr>
                <w:rFonts w:ascii="Arial" w:hAnsi="Arial" w:eastAsia="PMingLiU" w:cs="Arial"/>
                <w:b/>
                <w:bCs/>
                <w:i/>
                <w:iCs/>
                <w:kern w:val="0"/>
                <w:sz w:val="20"/>
                <w:lang w:val="en-GB" w:eastAsia="en-US"/>
              </w:rPr>
              <w:t>Option 2</w:t>
            </w:r>
            <w:r>
              <w:rPr>
                <w:rFonts w:ascii="Arial" w:hAnsi="Arial" w:eastAsia="PMingLiU" w:cs="Arial"/>
                <w:i/>
                <w:iCs/>
                <w:kern w:val="0"/>
                <w:sz w:val="20"/>
                <w:lang w:val="en-GB" w:eastAsia="en-US"/>
              </w:rPr>
              <w:t>: No</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 xml:space="preserve">In last meeting, companies bring contributions [2~7] on the above issue but no consensus were reached. In addition, the MSD for the cross-band isolation MSD caused by the intra-band UL CA are given in [5][6] for </w:t>
      </w:r>
      <w:r>
        <w:rPr>
          <w:rFonts w:hint="eastAsia" w:ascii="Times New Roman" w:hAnsi="Times New Roman" w:eastAsia="宋体" w:cs="Times New Roman"/>
          <w:b w:val="0"/>
          <w:kern w:val="2"/>
          <w:sz w:val="20"/>
          <w:szCs w:val="20"/>
          <w:lang w:val="en-US" w:eastAsia="zh-CN" w:bidi="ar-SA"/>
        </w:rPr>
        <w:t>CA_n40A-n41C</w:t>
      </w:r>
      <w:r>
        <w:rPr>
          <w:rFonts w:hint="eastAsia" w:cs="Times New Roman"/>
          <w:b w:val="0"/>
          <w:kern w:val="2"/>
          <w:sz w:val="20"/>
          <w:szCs w:val="20"/>
          <w:lang w:val="en-US" w:eastAsia="zh-CN" w:bidi="ar-SA"/>
        </w:rPr>
        <w:t xml:space="preserve"> and </w:t>
      </w:r>
      <w:r>
        <w:rPr>
          <w:rFonts w:hint="eastAsia" w:ascii="Times New Roman" w:hAnsi="Times New Roman" w:eastAsia="宋体" w:cs="Times New Roman"/>
          <w:b w:val="0"/>
          <w:kern w:val="2"/>
          <w:sz w:val="20"/>
          <w:szCs w:val="20"/>
          <w:lang w:val="en-US" w:eastAsia="zh-CN" w:bidi="ar-SA"/>
        </w:rPr>
        <w:t>CA_n41C-n79A</w:t>
      </w:r>
      <w:r>
        <w:rPr>
          <w:rFonts w:hint="eastAsia" w:cs="Times New Roman"/>
          <w:b w:val="0"/>
          <w:kern w:val="2"/>
          <w:sz w:val="20"/>
          <w:szCs w:val="20"/>
          <w:lang w:val="en-US" w:eastAsia="zh-CN" w:bidi="ar-SA"/>
        </w:rPr>
        <w:t>, respectively</w:t>
      </w:r>
      <w:r>
        <w:rPr>
          <w:rFonts w:hint="eastAsia" w:cs="Times New Roman"/>
          <w:sz w:val="20"/>
          <w:szCs w:val="20"/>
          <w:lang w:val="en-US" w:eastAsia="zh-CN"/>
        </w:rPr>
        <w:t xml:space="preserve">. </w:t>
      </w:r>
    </w:p>
    <w:bookmarkEnd w:id="8"/>
    <w:p>
      <w:pPr>
        <w:keepNext/>
        <w:keepLines/>
        <w:pageBreakBefore w:val="0"/>
        <w:widowControl w:val="0"/>
        <w:kinsoku/>
        <w:wordWrap/>
        <w:overflowPunct/>
        <w:topLinePunct w:val="0"/>
        <w:autoSpaceDE/>
        <w:autoSpaceDN/>
        <w:bidi w:val="0"/>
        <w:adjustRightInd/>
        <w:snapToGrid w:val="0"/>
        <w:spacing w:before="137" w:beforeLines="50" w:after="120" w:afterLines="50"/>
        <w:textAlignment w:val="auto"/>
        <w:rPr>
          <w:rFonts w:hint="default" w:cs="Times New Roman"/>
          <w:sz w:val="20"/>
          <w:szCs w:val="20"/>
          <w:lang w:val="en-US" w:eastAsia="zh-CN"/>
        </w:rPr>
      </w:pPr>
      <w:r>
        <w:rPr>
          <w:rFonts w:hint="default" w:cs="Times New Roman"/>
          <w:sz w:val="20"/>
          <w:szCs w:val="20"/>
          <w:lang w:val="en-US" w:eastAsia="zh-CN"/>
        </w:rPr>
        <w:t xml:space="preserve">In this contribution, </w:t>
      </w:r>
      <w:bookmarkStart w:id="11" w:name="OLE_LINK15"/>
      <w:r>
        <w:rPr>
          <w:rFonts w:hint="default" w:cs="Times New Roman"/>
          <w:sz w:val="20"/>
          <w:szCs w:val="20"/>
          <w:lang w:val="en-US" w:eastAsia="zh-CN"/>
        </w:rPr>
        <w:t xml:space="preserve">we give some </w:t>
      </w:r>
      <w:r>
        <w:rPr>
          <w:rFonts w:hint="eastAsia" w:cs="Times New Roman"/>
          <w:sz w:val="20"/>
          <w:szCs w:val="20"/>
          <w:lang w:val="en-US" w:eastAsia="zh-CN"/>
        </w:rPr>
        <w:t xml:space="preserve">further views </w:t>
      </w:r>
      <w:bookmarkStart w:id="12" w:name="OLE_LINK37"/>
      <w:r>
        <w:rPr>
          <w:rFonts w:hint="eastAsia" w:cs="Times New Roman"/>
          <w:sz w:val="20"/>
          <w:szCs w:val="20"/>
          <w:lang w:val="en-US" w:eastAsia="zh-CN"/>
        </w:rPr>
        <w:t xml:space="preserve">on the </w:t>
      </w:r>
      <w:bookmarkEnd w:id="11"/>
      <w:bookmarkEnd w:id="12"/>
      <w:r>
        <w:rPr>
          <w:rFonts w:hint="eastAsia" w:cs="Times New Roman"/>
          <w:sz w:val="20"/>
          <w:szCs w:val="20"/>
          <w:lang w:val="en-US" w:eastAsia="zh-CN"/>
        </w:rPr>
        <w:t>MSD requirements with intra-band contiguous UL CA.</w:t>
      </w:r>
    </w:p>
    <w:bookmarkEnd w:id="9"/>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line="260" w:lineRule="auto"/>
        <w:jc w:val="left"/>
        <w:textAlignment w:val="auto"/>
        <w:outlineLvl w:val="1"/>
        <w:rPr>
          <w:rFonts w:hint="eastAsia" w:cs="Times New Roman"/>
          <w:b/>
          <w:bCs/>
          <w:sz w:val="20"/>
          <w:szCs w:val="20"/>
          <w:lang w:val="en-US" w:eastAsia="zh-CN"/>
        </w:rPr>
      </w:pPr>
      <w:bookmarkStart w:id="13" w:name="OLE_LINK23"/>
      <w:bookmarkStart w:id="14" w:name="OLE_LINK66"/>
      <w:bookmarkStart w:id="15" w:name="OLE_LINK28"/>
      <w:r>
        <w:rPr>
          <w:rFonts w:hint="eastAsia" w:cs="Times New Roman"/>
          <w:b/>
          <w:bCs/>
          <w:sz w:val="20"/>
          <w:szCs w:val="20"/>
          <w:lang w:val="en-US" w:eastAsia="zh-CN"/>
        </w:rPr>
        <w:t>2.1 General</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sz w:val="20"/>
          <w:szCs w:val="20"/>
          <w:lang w:val="en-US" w:eastAsia="zh-CN"/>
        </w:rPr>
      </w:pPr>
      <w:r>
        <w:rPr>
          <w:rFonts w:hint="eastAsia" w:cs="Times New Roman"/>
          <w:sz w:val="20"/>
          <w:szCs w:val="20"/>
          <w:lang w:val="en-US" w:eastAsia="zh-CN"/>
        </w:rPr>
        <w:t>As we stated in [4], the main reason for not considering th</w:t>
      </w:r>
      <w:r>
        <w:rPr>
          <w:rFonts w:hint="eastAsia"/>
          <w:b w:val="0"/>
          <w:bCs w:val="0"/>
          <w:i w:val="0"/>
          <w:iCs w:val="0"/>
          <w:sz w:val="20"/>
          <w:szCs w:val="20"/>
          <w:highlight w:val="none"/>
          <w:lang w:val="en-US" w:eastAsia="zh-CN"/>
        </w:rPr>
        <w:t>e intra-band non-contiguous allocation such as 1RB+1RB MSD test point is that from the network scheduling point of view a network will not schedule another carrier and configure UL intra-band CA if one carrier is not fully utilized since it would impact the</w:t>
      </w:r>
      <w:r>
        <w:rPr>
          <w:rFonts w:ascii="Times New Roman" w:hAnsi="Times New Roman"/>
          <w:sz w:val="20"/>
          <w:szCs w:val="20"/>
        </w:rPr>
        <w:t xml:space="preserve"> UL throughput</w:t>
      </w:r>
      <w:r>
        <w:rPr>
          <w:rFonts w:hint="eastAsia"/>
          <w:sz w:val="20"/>
          <w:szCs w:val="20"/>
          <w:lang w:val="en-US" w:eastAsia="zh-CN"/>
        </w:rPr>
        <w:t xml:space="preserve">. In the other words, </w:t>
      </w:r>
      <w:r>
        <w:rPr>
          <w:rFonts w:hint="eastAsia" w:cs="Times New Roman"/>
          <w:sz w:val="20"/>
          <w:szCs w:val="20"/>
          <w:lang w:val="en-US" w:eastAsia="zh-CN"/>
        </w:rPr>
        <w:t xml:space="preserve">the non-contiguous allocation MSD test point would not be not a popular scenario in the filed, even it </w:t>
      </w:r>
      <w:r>
        <w:rPr>
          <w:rFonts w:ascii="Times New Roman" w:hAnsi="Times New Roman"/>
          <w:sz w:val="20"/>
          <w:szCs w:val="20"/>
        </w:rPr>
        <w:t>does</w:t>
      </w:r>
      <w:r>
        <w:rPr>
          <w:rFonts w:hint="eastAsia"/>
          <w:sz w:val="20"/>
          <w:szCs w:val="20"/>
          <w:lang w:val="en-US" w:eastAsia="zh-CN"/>
        </w:rPr>
        <w:t xml:space="preserve"> not</w:t>
      </w:r>
      <w:r>
        <w:rPr>
          <w:rFonts w:ascii="Times New Roman" w:hAnsi="Times New Roman"/>
          <w:sz w:val="20"/>
          <w:szCs w:val="20"/>
        </w:rPr>
        <w:t xml:space="preserve"> </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cs="Times New Roman"/>
          <w:sz w:val="20"/>
          <w:szCs w:val="20"/>
          <w:lang w:val="en-US" w:eastAsia="zh-CN"/>
        </w:rPr>
      </w:pPr>
      <w:r>
        <w:rPr>
          <w:rFonts w:ascii="Times New Roman" w:hAnsi="Times New Roman"/>
          <w:sz w:val="20"/>
          <w:szCs w:val="20"/>
        </w:rPr>
        <w:t>occur in operators’ networks.</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eastAsia="Arial"/>
          <w:sz w:val="20"/>
          <w:szCs w:val="20"/>
          <w:lang w:eastAsia="zh-CN"/>
        </w:rPr>
      </w:pPr>
      <w:r>
        <w:rPr>
          <w:rFonts w:hint="eastAsia" w:eastAsia="Arial"/>
          <w:sz w:val="20"/>
          <w:szCs w:val="20"/>
          <w:lang w:val="en-US" w:eastAsia="zh-CN"/>
        </w:rPr>
        <w:t>The 1RB+1RB allocation MSD test point is only used in the TDD band as intra-band UL CA assuming MPR requirement is applied to meet the emissions, and several RB+RB allocation MSD test point is only used in the FDD band as intra-band UL CA a</w:t>
      </w:r>
      <w:r>
        <w:rPr>
          <w:rFonts w:eastAsia="Arial"/>
          <w:sz w:val="20"/>
          <w:szCs w:val="20"/>
          <w:lang w:eastAsia="zh-CN"/>
        </w:rPr>
        <w:t>ssum</w:t>
      </w:r>
      <w:r>
        <w:rPr>
          <w:rFonts w:hint="eastAsia" w:eastAsia="Arial"/>
          <w:sz w:val="20"/>
          <w:szCs w:val="20"/>
          <w:lang w:val="en-US" w:eastAsia="zh-CN"/>
        </w:rPr>
        <w:t>ing</w:t>
      </w:r>
      <w:r>
        <w:rPr>
          <w:rFonts w:eastAsia="Arial"/>
          <w:sz w:val="20"/>
          <w:szCs w:val="20"/>
          <w:lang w:eastAsia="zh-CN"/>
        </w:rPr>
        <w:t xml:space="preserve"> that the UE is at PCmax</w:t>
      </w:r>
      <w:r>
        <w:rPr>
          <w:rFonts w:hint="eastAsia" w:eastAsia="Arial"/>
          <w:sz w:val="20"/>
          <w:szCs w:val="20"/>
          <w:lang w:val="en-US" w:eastAsia="zh-CN"/>
        </w:rPr>
        <w:t xml:space="preserve"> and </w:t>
      </w:r>
      <w:r>
        <w:rPr>
          <w:rFonts w:eastAsia="Arial"/>
          <w:sz w:val="20"/>
          <w:szCs w:val="20"/>
          <w:lang w:eastAsia="zh-CN"/>
        </w:rPr>
        <w:t>shared with equal PSD among the two carriers.</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eastAsia="Arial"/>
          <w:sz w:val="20"/>
          <w:szCs w:val="20"/>
          <w:lang w:val="en-US" w:eastAsia="zh-CN"/>
        </w:rPr>
      </w:pPr>
      <w:r>
        <w:rPr>
          <w:rFonts w:hint="eastAsia" w:eastAsia="Arial"/>
          <w:sz w:val="20"/>
          <w:szCs w:val="20"/>
          <w:lang w:val="en-US" w:eastAsia="zh-CN"/>
        </w:rPr>
        <w:t>In terms of the discussion in last meeting, the views among the companies are still diverse. Some companies still think it is necessary to keep the current 1RB+1RB MSD test point unchanged, but some other companies would like to consider more practical scenarios for the MSD definition.</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eastAsia="Arial"/>
          <w:sz w:val="20"/>
          <w:szCs w:val="20"/>
          <w:lang w:val="en-US" w:eastAsia="zh-CN"/>
        </w:rPr>
      </w:pPr>
      <w:r>
        <w:rPr>
          <w:rFonts w:hint="eastAsia" w:eastAsia="Arial"/>
          <w:sz w:val="20"/>
          <w:szCs w:val="20"/>
          <w:lang w:val="en-US" w:eastAsia="zh-CN"/>
        </w:rPr>
        <w:t>Actually, this issue was somehow triggered by CA_n41C-n79A due to &gt;55dB MSD is foreseen without MPR, and ~43dB MSD with MPR assumption, where such high MSD value cause deployment concerns although it is not the first combination whose MSD value is more than 45dB.</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eastAsia="Arial"/>
          <w:sz w:val="20"/>
          <w:szCs w:val="20"/>
          <w:lang w:val="en-US" w:eastAsia="zh-CN"/>
        </w:rPr>
      </w:pPr>
      <w:r>
        <w:rPr>
          <w:rFonts w:hint="eastAsia" w:eastAsia="Arial"/>
          <w:sz w:val="20"/>
          <w:szCs w:val="20"/>
          <w:lang w:val="en-US" w:eastAsia="zh-CN"/>
        </w:rPr>
        <w:t xml:space="preserve">For the more practical scenarios, to guarantee the UL performance, usually the </w:t>
      </w:r>
      <w:r>
        <w:rPr>
          <w:rFonts w:hint="eastAsia"/>
          <w:b w:val="0"/>
          <w:bCs w:val="0"/>
          <w:i w:val="0"/>
          <w:iCs w:val="0"/>
          <w:sz w:val="20"/>
          <w:szCs w:val="20"/>
          <w:highlight w:val="none"/>
          <w:lang w:val="en-GB" w:eastAsia="en-US"/>
        </w:rPr>
        <w:t>fully allocated maximum aggregated BW</w:t>
      </w:r>
      <w:r>
        <w:rPr>
          <w:rFonts w:hint="eastAsia"/>
          <w:b w:val="0"/>
          <w:bCs w:val="0"/>
          <w:i w:val="0"/>
          <w:iCs w:val="0"/>
          <w:sz w:val="20"/>
          <w:szCs w:val="20"/>
          <w:highlight w:val="none"/>
          <w:lang w:val="en-US" w:eastAsia="zh-CN"/>
        </w:rPr>
        <w:t xml:space="preserve"> would be configured for the </w:t>
      </w:r>
      <w:r>
        <w:rPr>
          <w:rFonts w:hint="eastAsia"/>
          <w:b w:val="0"/>
          <w:bCs w:val="0"/>
          <w:i w:val="0"/>
          <w:iCs w:val="0"/>
          <w:sz w:val="20"/>
          <w:szCs w:val="20"/>
          <w:highlight w:val="none"/>
          <w:lang w:val="en-GB" w:eastAsia="en-US"/>
        </w:rPr>
        <w:t>intra-band contiguous UL CA</w:t>
      </w:r>
      <w:r>
        <w:rPr>
          <w:rFonts w:hint="eastAsia"/>
          <w:b w:val="0"/>
          <w:bCs w:val="0"/>
          <w:i w:val="0"/>
          <w:iCs w:val="0"/>
          <w:sz w:val="20"/>
          <w:szCs w:val="20"/>
          <w:highlight w:val="none"/>
          <w:lang w:val="en-US" w:eastAsia="zh-CN"/>
        </w:rPr>
        <w:t xml:space="preserve"> band. The 1RB allocation may possibly happen when the UE is moved/located in the cell edge. However, in this case we think it does not make sense for NW configuring 1RB+1RB in each carrier for the inter-band UL CA considering the serious MSD value since it would cause the REFSEN degraded too much which would shrink the DL coverage. Instead the NW should drop the Scell to avoid large MSD.</w:t>
      </w:r>
      <w:r>
        <w:rPr>
          <w:rFonts w:hint="eastAsia" w:eastAsia="Arial"/>
          <w:sz w:val="20"/>
          <w:szCs w:val="20"/>
          <w:lang w:val="en-US" w:eastAsia="zh-CN"/>
        </w:rPr>
        <w:t>Therefore, we still prefer to re-consider 1RB+1RB allocations if possible, and it should only be for intra-band TDD UL CA only.</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eastAsia="宋体"/>
          <w:b/>
          <w:bCs/>
          <w:i/>
          <w:iCs/>
          <w:sz w:val="20"/>
          <w:highlight w:val="none"/>
          <w:lang w:val="en-US" w:eastAsia="zh-CN"/>
        </w:rPr>
      </w:pPr>
      <w:r>
        <w:rPr>
          <w:rFonts w:hint="default" w:eastAsia="宋体"/>
          <w:b/>
          <w:bCs/>
          <w:i/>
          <w:iCs/>
          <w:sz w:val="20"/>
          <w:highlight w:val="none"/>
          <w:lang w:val="en-US" w:eastAsia="zh-CN"/>
        </w:rPr>
        <w:t>Proposal</w:t>
      </w:r>
      <w:r>
        <w:rPr>
          <w:rFonts w:hint="eastAsia" w:eastAsia="宋体"/>
          <w:b/>
          <w:bCs/>
          <w:i/>
          <w:iCs/>
          <w:sz w:val="20"/>
          <w:highlight w:val="none"/>
          <w:lang w:val="en-US" w:eastAsia="zh-CN"/>
        </w:rPr>
        <w:t xml:space="preserve"> 1</w:t>
      </w:r>
      <w:r>
        <w:rPr>
          <w:rFonts w:hint="default" w:eastAsia="宋体"/>
          <w:b/>
          <w:bCs/>
          <w:i/>
          <w:iCs/>
          <w:sz w:val="20"/>
          <w:highlight w:val="none"/>
          <w:lang w:val="en-US" w:eastAsia="zh-CN"/>
        </w:rPr>
        <w:t xml:space="preserve">: </w:t>
      </w:r>
      <w:r>
        <w:rPr>
          <w:rFonts w:hint="eastAsia" w:eastAsia="宋体"/>
          <w:b/>
          <w:bCs/>
          <w:i/>
          <w:iCs/>
          <w:sz w:val="20"/>
          <w:highlight w:val="none"/>
          <w:lang w:val="en-US" w:eastAsia="zh-CN"/>
        </w:rPr>
        <w:t>R</w:t>
      </w:r>
      <w:r>
        <w:rPr>
          <w:rFonts w:hint="eastAsia" w:eastAsia="宋体"/>
          <w:b/>
          <w:bCs/>
          <w:i/>
          <w:iCs/>
          <w:sz w:val="20"/>
          <w:highlight w:val="none"/>
          <w:lang w:eastAsia="zh-CN"/>
        </w:rPr>
        <w:t>e-considered</w:t>
      </w:r>
      <w:r>
        <w:rPr>
          <w:rFonts w:hint="eastAsia" w:eastAsia="宋体"/>
          <w:b/>
          <w:bCs/>
          <w:i/>
          <w:iCs/>
          <w:sz w:val="20"/>
          <w:highlight w:val="none"/>
          <w:lang w:val="en-US" w:eastAsia="zh-CN"/>
        </w:rPr>
        <w:t xml:space="preserve"> </w:t>
      </w:r>
      <w:r>
        <w:rPr>
          <w:rFonts w:hint="eastAsia" w:eastAsia="宋体"/>
          <w:b/>
          <w:bCs/>
          <w:i/>
          <w:iCs/>
          <w:sz w:val="20"/>
          <w:highlight w:val="none"/>
          <w:lang w:eastAsia="zh-CN"/>
        </w:rPr>
        <w:t>1RB+1RB</w:t>
      </w:r>
      <w:r>
        <w:rPr>
          <w:rFonts w:hint="eastAsia" w:eastAsia="宋体"/>
          <w:b/>
          <w:bCs/>
          <w:i/>
          <w:iCs/>
          <w:sz w:val="20"/>
          <w:highlight w:val="none"/>
          <w:lang w:val="en-US" w:eastAsia="zh-CN"/>
        </w:rPr>
        <w:t xml:space="preserve"> </w:t>
      </w:r>
      <w:r>
        <w:rPr>
          <w:rFonts w:hint="eastAsia" w:eastAsia="宋体"/>
          <w:b/>
          <w:bCs/>
          <w:i/>
          <w:iCs/>
          <w:sz w:val="20"/>
          <w:highlight w:val="none"/>
          <w:lang w:eastAsia="zh-CN"/>
        </w:rPr>
        <w:t xml:space="preserve">RB allocation for intra-band </w:t>
      </w:r>
      <w:r>
        <w:rPr>
          <w:rFonts w:hint="eastAsia" w:eastAsia="宋体"/>
          <w:b/>
          <w:bCs/>
          <w:i/>
          <w:iCs/>
          <w:sz w:val="20"/>
          <w:highlight w:val="none"/>
          <w:lang w:val="en-US" w:eastAsia="zh-CN"/>
        </w:rPr>
        <w:t xml:space="preserve">TDD </w:t>
      </w:r>
      <w:r>
        <w:rPr>
          <w:rFonts w:hint="eastAsia" w:eastAsia="宋体"/>
          <w:b/>
          <w:bCs/>
          <w:i/>
          <w:iCs/>
          <w:sz w:val="20"/>
          <w:highlight w:val="none"/>
          <w:lang w:eastAsia="zh-CN"/>
        </w:rPr>
        <w:t>ULCA within an inter-band DL CA</w:t>
      </w:r>
      <w:r>
        <w:rPr>
          <w:rFonts w:hint="eastAsia"/>
          <w:b/>
          <w:bCs/>
          <w:i/>
          <w:iCs/>
          <w:sz w:val="20"/>
          <w:highlight w:val="none"/>
          <w:lang w:val="en-US" w:eastAsia="zh-CN"/>
        </w:rPr>
        <w:t xml:space="preserve"> if possible</w:t>
      </w:r>
      <w:r>
        <w:rPr>
          <w:rFonts w:hint="eastAsia" w:eastAsia="宋体"/>
          <w:b/>
          <w:bCs/>
          <w:i/>
          <w:iCs/>
          <w:sz w:val="20"/>
          <w:highlight w:val="none"/>
          <w:lang w:val="en-US" w:eastAsia="zh-CN"/>
        </w:rPr>
        <w:t>.</w:t>
      </w:r>
    </w:p>
    <w:p>
      <w:pPr>
        <w:keepNext/>
        <w:keepLines/>
        <w:pageBreakBefore w:val="0"/>
        <w:widowControl/>
        <w:numPr>
          <w:ilvl w:val="-1"/>
          <w:numId w:val="0"/>
        </w:numPr>
        <w:suppressLineNumbers w:val="0"/>
        <w:kinsoku/>
        <w:wordWrap/>
        <w:overflowPunct/>
        <w:topLinePunct w:val="0"/>
        <w:autoSpaceDE/>
        <w:autoSpaceDN/>
        <w:bidi w:val="0"/>
        <w:adjustRightInd/>
        <w:spacing w:before="0" w:beforeLines="-2147483648" w:afterLines="-2147483648" w:line="240" w:lineRule="auto"/>
        <w:jc w:val="both"/>
        <w:textAlignment w:val="auto"/>
        <w:rPr>
          <w:rFonts w:hint="eastAsia"/>
          <w:b w:val="0"/>
          <w:bCs w:val="0"/>
          <w:i w:val="0"/>
          <w:iCs w:val="0"/>
          <w:sz w:val="20"/>
          <w:szCs w:val="20"/>
          <w:highlight w:val="none"/>
          <w:lang w:val="en-US" w:eastAsia="zh-CN"/>
        </w:rPr>
      </w:pPr>
      <w:r>
        <w:rPr>
          <w:rFonts w:hint="eastAsia"/>
          <w:b w:val="0"/>
          <w:bCs w:val="0"/>
          <w:i w:val="0"/>
          <w:iCs w:val="0"/>
          <w:sz w:val="20"/>
          <w:szCs w:val="20"/>
          <w:highlight w:val="none"/>
          <w:lang w:val="en-US" w:eastAsia="zh-CN"/>
        </w:rPr>
        <w:t xml:space="preserve">Regarding the </w:t>
      </w:r>
      <w:r>
        <w:rPr>
          <w:rFonts w:hint="eastAsia"/>
          <w:b w:val="0"/>
          <w:bCs w:val="0"/>
          <w:i w:val="0"/>
          <w:iCs w:val="0"/>
          <w:sz w:val="20"/>
          <w:szCs w:val="20"/>
          <w:highlight w:val="none"/>
          <w:lang w:val="en-GB" w:eastAsia="en-US"/>
        </w:rPr>
        <w:t>cross-band MSD requirements resulting from intra-band contiguous UL CA configured with fully allocated maximum aggregated BW</w:t>
      </w:r>
      <w:r>
        <w:rPr>
          <w:rFonts w:hint="eastAsia"/>
          <w:b w:val="0"/>
          <w:bCs w:val="0"/>
          <w:i w:val="0"/>
          <w:iCs w:val="0"/>
          <w:sz w:val="20"/>
          <w:szCs w:val="20"/>
          <w:highlight w:val="none"/>
          <w:lang w:val="en-US" w:eastAsia="zh-CN"/>
        </w:rPr>
        <w:t xml:space="preserve">, it is a new type of MSD and RAN4 never consider it in the past although there are several inter-band UL CA including intra-band CA configurations in the spec. </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eastAsia="宋体"/>
          <w:b/>
          <w:bCs/>
          <w:i/>
          <w:iCs/>
          <w:sz w:val="20"/>
          <w:szCs w:val="20"/>
          <w:highlight w:val="none"/>
          <w:lang w:val="en-US" w:eastAsia="zh-CN"/>
        </w:rPr>
      </w:pPr>
      <w:r>
        <w:rPr>
          <w:rFonts w:hint="eastAsia"/>
          <w:b/>
          <w:bCs/>
          <w:i/>
          <w:iCs/>
          <w:sz w:val="20"/>
          <w:szCs w:val="20"/>
          <w:highlight w:val="none"/>
          <w:lang w:val="en-US" w:eastAsia="zh-CN"/>
        </w:rPr>
        <w:t>Observation 1: In current spec, there are no cross band isolation MSD defined for</w:t>
      </w:r>
      <w:r>
        <w:rPr>
          <w:rFonts w:hint="eastAsia"/>
          <w:b/>
          <w:bCs/>
          <w:i/>
          <w:iCs/>
          <w:sz w:val="20"/>
          <w:szCs w:val="20"/>
          <w:highlight w:val="none"/>
          <w:lang w:val="en-GB" w:eastAsia="en-US"/>
        </w:rPr>
        <w:t xml:space="preserve"> intra-band contiguous UL CA configured with fully allocated maximum aggregated BW</w:t>
      </w:r>
      <w:r>
        <w:rPr>
          <w:rFonts w:hint="eastAsia"/>
          <w:b/>
          <w:bCs/>
          <w:i/>
          <w:iCs/>
          <w:sz w:val="20"/>
          <w:szCs w:val="20"/>
          <w:highlight w:val="none"/>
          <w:lang w:val="en-US" w:eastAsia="zh-CN"/>
        </w:rPr>
        <w:t>.</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val="0"/>
          <w:bCs w:val="0"/>
          <w:i w:val="0"/>
          <w:iCs w:val="0"/>
          <w:sz w:val="20"/>
          <w:szCs w:val="20"/>
          <w:highlight w:val="none"/>
          <w:lang w:val="en-US" w:eastAsia="zh-CN"/>
        </w:rPr>
      </w:pPr>
      <w:bookmarkStart w:id="16" w:name="OLE_LINK30"/>
      <w:r>
        <w:rPr>
          <w:rFonts w:hint="eastAsia"/>
          <w:b w:val="0"/>
          <w:bCs w:val="0"/>
          <w:i w:val="0"/>
          <w:iCs w:val="0"/>
          <w:sz w:val="20"/>
          <w:szCs w:val="20"/>
          <w:highlight w:val="none"/>
          <w:lang w:val="en-US" w:eastAsia="zh-CN"/>
        </w:rPr>
        <w:t>As we discussed in [3], fully allocated maximum aggregated BW is a meaningful scenario in the field for one band supports intra-band UL CA, we think there might be needed define the MSD</w:t>
      </w:r>
      <w:bookmarkEnd w:id="16"/>
      <w:r>
        <w:rPr>
          <w:rFonts w:hint="eastAsia"/>
          <w:b w:val="0"/>
          <w:bCs w:val="0"/>
          <w:i w:val="0"/>
          <w:iCs w:val="0"/>
          <w:sz w:val="20"/>
          <w:szCs w:val="20"/>
          <w:highlight w:val="none"/>
          <w:lang w:val="en-US" w:eastAsia="zh-CN"/>
        </w:rPr>
        <w:t xml:space="preserve"> since the CA ACLR region caused by intra-band contiguous CA (</w:t>
      </w:r>
      <w:r>
        <w:rPr>
          <w:rFonts w:hint="eastAsia"/>
          <w:b w:val="0"/>
          <w:bCs w:val="0"/>
          <w:i w:val="0"/>
          <w:iCs w:val="0"/>
          <w:sz w:val="20"/>
          <w:szCs w:val="20"/>
          <w:highlight w:val="none"/>
          <w:lang w:val="en-GB" w:eastAsia="en-US"/>
        </w:rPr>
        <w:t>maximum aggregated BW</w:t>
      </w:r>
      <w:r>
        <w:rPr>
          <w:rFonts w:hint="eastAsia"/>
          <w:b w:val="0"/>
          <w:bCs w:val="0"/>
          <w:i w:val="0"/>
          <w:iCs w:val="0"/>
          <w:sz w:val="20"/>
          <w:szCs w:val="20"/>
          <w:highlight w:val="none"/>
          <w:lang w:val="en-US" w:eastAsia="zh-CN"/>
        </w:rPr>
        <w:t xml:space="preserve">) is larger than single carrier, </w:t>
      </w:r>
      <w:bookmarkStart w:id="17" w:name="OLE_LINK24"/>
      <w:bookmarkStart w:id="18" w:name="OLE_LINK26"/>
      <w:r>
        <w:rPr>
          <w:rFonts w:hint="eastAsia"/>
          <w:b w:val="0"/>
          <w:bCs w:val="0"/>
          <w:i w:val="0"/>
          <w:iCs w:val="0"/>
          <w:sz w:val="20"/>
          <w:szCs w:val="20"/>
          <w:highlight w:val="none"/>
          <w:lang w:val="en-US" w:eastAsia="zh-CN"/>
        </w:rPr>
        <w:t>the CA ACLR region does not overlap with victim DL for single carrier</w:t>
      </w:r>
      <w:bookmarkEnd w:id="17"/>
      <w:r>
        <w:rPr>
          <w:rFonts w:hint="eastAsia"/>
          <w:b w:val="0"/>
          <w:bCs w:val="0"/>
          <w:i w:val="0"/>
          <w:iCs w:val="0"/>
          <w:sz w:val="20"/>
          <w:szCs w:val="20"/>
          <w:highlight w:val="none"/>
          <w:lang w:val="en-US" w:eastAsia="zh-CN"/>
        </w:rPr>
        <w:t xml:space="preserve"> does not imply the CA ACLR region will not overlap with victim DL for intra-band contiguous CA</w:t>
      </w:r>
      <w:bookmarkEnd w:id="18"/>
      <w:r>
        <w:rPr>
          <w:rFonts w:hint="eastAsia"/>
          <w:b w:val="0"/>
          <w:bCs w:val="0"/>
          <w:i w:val="0"/>
          <w:iCs w:val="0"/>
          <w:sz w:val="20"/>
          <w:szCs w:val="20"/>
          <w:highlight w:val="none"/>
          <w:lang w:val="en-US" w:eastAsia="zh-CN"/>
        </w:rPr>
        <w:t xml:space="preserve">. </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 xml:space="preserve">Proposal 2: If the </w:t>
      </w:r>
      <w:r>
        <w:rPr>
          <w:rFonts w:hint="eastAsia"/>
          <w:b/>
          <w:bCs/>
          <w:i/>
          <w:iCs/>
          <w:sz w:val="20"/>
          <w:szCs w:val="20"/>
          <w:highlight w:val="none"/>
          <w:lang w:val="en-GB" w:eastAsia="en-US"/>
        </w:rPr>
        <w:t>cross-band MSD requirements resulting from intra-band contiguous UL CA configured with fully allocated maximum aggregated BW</w:t>
      </w:r>
      <w:r>
        <w:rPr>
          <w:rFonts w:hint="eastAsia"/>
          <w:b/>
          <w:bCs/>
          <w:i/>
          <w:iCs/>
          <w:sz w:val="20"/>
          <w:szCs w:val="20"/>
          <w:highlight w:val="none"/>
          <w:lang w:val="en-US" w:eastAsia="zh-CN"/>
        </w:rPr>
        <w:t xml:space="preserve"> is considered to be defined:</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ind w:firstLine="40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 Only to define new cross band isolation MSD for CA ACLR1/ACLR2 interference source</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ind w:firstLine="40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 To reuse cross band isolation MSD of single carrier for &gt;ACLR2 interference source</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line="260" w:lineRule="auto"/>
        <w:jc w:val="left"/>
        <w:textAlignment w:val="auto"/>
        <w:outlineLvl w:val="1"/>
        <w:rPr>
          <w:rFonts w:hint="default" w:cs="Times New Roman"/>
          <w:b/>
          <w:bCs/>
          <w:sz w:val="20"/>
          <w:szCs w:val="20"/>
          <w:lang w:val="en-US" w:eastAsia="zh-CN"/>
        </w:rPr>
      </w:pPr>
      <w:r>
        <w:rPr>
          <w:rFonts w:hint="eastAsia" w:cs="Times New Roman"/>
          <w:b/>
          <w:bCs/>
          <w:sz w:val="20"/>
          <w:szCs w:val="20"/>
          <w:lang w:val="en-US" w:eastAsia="zh-CN"/>
        </w:rPr>
        <w:t>2.2 Cross-band isolation MSD for n41C to n40</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val="0"/>
          <w:bCs w:val="0"/>
          <w:i w:val="0"/>
          <w:iCs w:val="0"/>
          <w:sz w:val="20"/>
          <w:szCs w:val="20"/>
          <w:highlight w:val="none"/>
          <w:lang w:val="en-US" w:eastAsia="zh-CN"/>
        </w:rPr>
      </w:pPr>
      <w:r>
        <w:rPr>
          <w:rFonts w:hint="eastAsia"/>
          <w:b w:val="0"/>
          <w:bCs w:val="0"/>
          <w:i w:val="0"/>
          <w:iCs w:val="0"/>
          <w:sz w:val="20"/>
          <w:szCs w:val="20"/>
          <w:highlight w:val="none"/>
          <w:lang w:val="en-US" w:eastAsia="zh-CN"/>
        </w:rPr>
        <w:t xml:space="preserve">In this section, we give some discussions on the cross band isolation MSD caused by the intra-band UL n41C to n40, where fully </w:t>
      </w:r>
      <w:r>
        <w:rPr>
          <w:rFonts w:hint="eastAsia"/>
          <w:b w:val="0"/>
          <w:bCs w:val="0"/>
          <w:i w:val="0"/>
          <w:iCs w:val="0"/>
          <w:sz w:val="20"/>
          <w:szCs w:val="20"/>
          <w:highlight w:val="none"/>
          <w:lang w:val="en-GB" w:eastAsia="en-US"/>
        </w:rPr>
        <w:t>allocated maximum aggregated BW</w:t>
      </w:r>
      <w:r>
        <w:rPr>
          <w:rFonts w:hint="eastAsia"/>
          <w:b w:val="0"/>
          <w:bCs w:val="0"/>
          <w:i w:val="0"/>
          <w:iCs w:val="0"/>
          <w:sz w:val="20"/>
          <w:szCs w:val="20"/>
          <w:highlight w:val="none"/>
          <w:lang w:val="en-US" w:eastAsia="zh-CN"/>
        </w:rPr>
        <w:t xml:space="preserve"> is considered.</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val="0"/>
          <w:bCs w:val="0"/>
          <w:i w:val="0"/>
          <w:iCs w:val="0"/>
          <w:sz w:val="20"/>
          <w:szCs w:val="20"/>
          <w:highlight w:val="none"/>
          <w:lang w:val="en-US" w:eastAsia="zh-CN"/>
        </w:rPr>
      </w:pPr>
      <w:r>
        <w:rPr>
          <w:rFonts w:hint="eastAsia"/>
          <w:b w:val="0"/>
          <w:bCs w:val="0"/>
          <w:i w:val="0"/>
          <w:iCs w:val="0"/>
          <w:sz w:val="20"/>
          <w:szCs w:val="20"/>
          <w:highlight w:val="none"/>
          <w:lang w:val="en-US" w:eastAsia="zh-CN"/>
        </w:rPr>
        <w:t xml:space="preserve">For CA_n40A-n41C, the aggregated channel bandwidth for UL CA_n41C is 160MHz, both CA ACLR1/2 would falls into the n40 Rx range. </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b w:val="0"/>
          <w:bCs w:val="0"/>
          <w:i w:val="0"/>
          <w:iCs w:val="0"/>
          <w:sz w:val="20"/>
          <w:szCs w:val="20"/>
          <w:highlight w:val="none"/>
          <w:lang w:val="en-US" w:eastAsia="zh-CN"/>
        </w:rPr>
      </w:pPr>
      <w:r>
        <w:rPr>
          <w:rFonts w:hint="eastAsia"/>
          <w:b w:val="0"/>
          <w:bCs w:val="0"/>
          <w:i w:val="0"/>
          <w:iCs w:val="0"/>
          <w:sz w:val="20"/>
          <w:szCs w:val="20"/>
          <w:highlight w:val="none"/>
          <w:lang w:val="en-US" w:eastAsia="zh-CN"/>
        </w:rPr>
        <w:t>We use the same RF architecture assumption in [5] for the analysis, and some of the RF assumptions as well. By the calculation, we see the MSD dominate factor is the CA ACLR due to the poor rejections between n40 to n41.</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b w:val="0"/>
          <w:bCs w:val="0"/>
          <w:i w:val="0"/>
          <w:iCs w:val="0"/>
          <w:sz w:val="20"/>
          <w:szCs w:val="20"/>
          <w:highlight w:val="none"/>
          <w:lang w:val="en-US" w:eastAsia="zh-CN"/>
        </w:rPr>
      </w:pPr>
      <w:r>
        <w:rPr>
          <w:rFonts w:hint="eastAsia"/>
          <w:b w:val="0"/>
          <w:bCs w:val="0"/>
          <w:i w:val="0"/>
          <w:iCs w:val="0"/>
          <w:sz w:val="20"/>
          <w:szCs w:val="20"/>
          <w:highlight w:val="none"/>
          <w:lang w:val="en-US" w:eastAsia="zh-CN"/>
        </w:rPr>
        <w:t xml:space="preserve">For the </w:t>
      </w:r>
      <w:r>
        <w:rPr>
          <w:sz w:val="20"/>
          <w:szCs w:val="20"/>
        </w:rPr>
        <w:t xml:space="preserve">30dB n41 Tx filter rejection at </w:t>
      </w:r>
      <w:r>
        <w:rPr>
          <w:rFonts w:eastAsiaTheme="minorEastAsia"/>
          <w:sz w:val="20"/>
          <w:szCs w:val="20"/>
          <w:lang w:eastAsia="zh-CN"/>
        </w:rPr>
        <w:t>2300~2400MHz</w:t>
      </w:r>
      <w:r>
        <w:rPr>
          <w:rFonts w:hint="eastAsia" w:eastAsiaTheme="minorEastAsia"/>
          <w:sz w:val="20"/>
          <w:szCs w:val="20"/>
          <w:lang w:val="en-US" w:eastAsia="zh-CN"/>
        </w:rPr>
        <w:t>, the MSD is calculated in the table 1 for CA ACLR1 and CA ACLR2, respectively.</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center"/>
        <w:textAlignment w:val="auto"/>
        <w:rPr>
          <w:rFonts w:hint="eastAsia"/>
          <w:b w:val="0"/>
          <w:bCs w:val="0"/>
          <w:i w:val="0"/>
          <w:iCs w:val="0"/>
          <w:sz w:val="20"/>
          <w:szCs w:val="20"/>
          <w:highlight w:val="none"/>
          <w:lang w:val="en-US" w:eastAsia="zh-CN"/>
        </w:rPr>
      </w:pP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center"/>
        <w:textAlignment w:val="auto"/>
        <w:rPr>
          <w:rFonts w:hint="default"/>
          <w:b w:val="0"/>
          <w:bCs w:val="0"/>
          <w:i w:val="0"/>
          <w:iCs w:val="0"/>
          <w:sz w:val="20"/>
          <w:szCs w:val="20"/>
          <w:highlight w:val="none"/>
          <w:lang w:val="en-US" w:eastAsia="zh-CN"/>
        </w:rPr>
      </w:pPr>
      <w:r>
        <w:rPr>
          <w:rFonts w:hint="eastAsia"/>
          <w:b w:val="0"/>
          <w:bCs w:val="0"/>
          <w:i w:val="0"/>
          <w:iCs w:val="0"/>
          <w:sz w:val="20"/>
          <w:szCs w:val="20"/>
          <w:highlight w:val="none"/>
          <w:lang w:val="en-US" w:eastAsia="zh-CN"/>
        </w:rPr>
        <w:t>Table 1. MSD for CA_n41C CA ACLR1 to n40</w:t>
      </w:r>
    </w:p>
    <w:tbl>
      <w:tblPr>
        <w:tblStyle w:val="22"/>
        <w:tblW w:w="8114" w:type="dxa"/>
        <w:jc w:val="center"/>
        <w:shd w:val="clear" w:color="auto" w:fill="auto"/>
        <w:tblLayout w:type="fixed"/>
        <w:tblCellMar>
          <w:top w:w="0" w:type="dxa"/>
          <w:left w:w="108" w:type="dxa"/>
          <w:bottom w:w="0" w:type="dxa"/>
          <w:right w:w="108" w:type="dxa"/>
        </w:tblCellMar>
      </w:tblPr>
      <w:tblGrid>
        <w:gridCol w:w="5230"/>
        <w:gridCol w:w="1871"/>
        <w:gridCol w:w="1013"/>
      </w:tblGrid>
      <w:tr>
        <w:tblPrEx>
          <w:shd w:val="clear" w:color="auto" w:fill="auto"/>
          <w:tblCellMar>
            <w:top w:w="0" w:type="dxa"/>
            <w:left w:w="108" w:type="dxa"/>
            <w:bottom w:w="0" w:type="dxa"/>
            <w:right w:w="108" w:type="dxa"/>
          </w:tblCellMar>
        </w:tblPrEx>
        <w:trPr>
          <w:trHeight w:val="273" w:hRule="atLeast"/>
          <w:jc w:val="center"/>
        </w:trPr>
        <w:tc>
          <w:tcPr>
            <w:tcW w:w="5230"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total interference noise</w:t>
            </w:r>
          </w:p>
        </w:tc>
        <w:tc>
          <w:tcPr>
            <w:tcW w:w="1871"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kinsoku/>
              <w:wordWrap/>
              <w:overflowPunct/>
              <w:topLinePunct w:val="0"/>
              <w:autoSpaceDE/>
              <w:autoSpaceDN/>
              <w:bidi w:val="0"/>
              <w:adjustRightInd/>
              <w:snapToGrid/>
              <w:spacing w:beforeLines="0" w:afterLines="0" w:line="240" w:lineRule="auto"/>
              <w:jc w:val="center"/>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Main</w:t>
            </w:r>
          </w:p>
        </w:tc>
        <w:tc>
          <w:tcPr>
            <w:tcW w:w="1013"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kinsoku/>
              <w:wordWrap/>
              <w:overflowPunct/>
              <w:topLinePunct w:val="0"/>
              <w:autoSpaceDE/>
              <w:autoSpaceDN/>
              <w:bidi w:val="0"/>
              <w:adjustRightInd/>
              <w:snapToGrid/>
              <w:spacing w:beforeLines="0" w:afterLines="0" w:line="240" w:lineRule="auto"/>
              <w:jc w:val="center"/>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Diversity</w:t>
            </w:r>
          </w:p>
        </w:tc>
      </w:tr>
      <w:tr>
        <w:tblPrEx>
          <w:shd w:val="clear" w:color="auto" w:fill="auto"/>
          <w:tblCellMar>
            <w:top w:w="0" w:type="dxa"/>
            <w:left w:w="108" w:type="dxa"/>
            <w:bottom w:w="0" w:type="dxa"/>
            <w:right w:w="108" w:type="dxa"/>
          </w:tblCellMar>
        </w:tblPrEx>
        <w:trPr>
          <w:trHeight w:val="264" w:hRule="atLeast"/>
          <w:jc w:val="center"/>
        </w:trPr>
        <w:tc>
          <w:tcPr>
            <w:tcW w:w="523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Total interference noise referred to antenna port (dBm)</w:t>
            </w:r>
          </w:p>
        </w:tc>
        <w:tc>
          <w:tcPr>
            <w:tcW w:w="1871"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-6</w:t>
            </w:r>
            <w:r>
              <w:rPr>
                <w:rFonts w:hint="eastAsia" w:ascii="Times New Roman" w:hAnsi="Times New Roman" w:cs="Times New Roman"/>
                <w:i w:val="0"/>
                <w:iCs w:val="0"/>
                <w:color w:val="000000"/>
                <w:kern w:val="0"/>
                <w:sz w:val="20"/>
                <w:szCs w:val="20"/>
                <w:u w:val="none"/>
                <w:lang w:val="en-US" w:eastAsia="zh-CN" w:bidi="ar"/>
              </w:rPr>
              <w:t>4.5</w:t>
            </w:r>
          </w:p>
        </w:tc>
        <w:tc>
          <w:tcPr>
            <w:tcW w:w="1013"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-6</w:t>
            </w:r>
            <w:r>
              <w:rPr>
                <w:rFonts w:hint="eastAsia" w:ascii="Times New Roman" w:hAnsi="Times New Roman" w:cs="Times New Roman"/>
                <w:i w:val="0"/>
                <w:iCs w:val="0"/>
                <w:color w:val="000000"/>
                <w:kern w:val="0"/>
                <w:sz w:val="20"/>
                <w:szCs w:val="20"/>
                <w:u w:val="none"/>
                <w:lang w:val="en-US" w:eastAsia="zh-CN" w:bidi="ar"/>
              </w:rPr>
              <w:t>4.5</w:t>
            </w:r>
          </w:p>
        </w:tc>
      </w:tr>
      <w:tr>
        <w:tblPrEx>
          <w:tblCellMar>
            <w:top w:w="0" w:type="dxa"/>
            <w:left w:w="108" w:type="dxa"/>
            <w:bottom w:w="0" w:type="dxa"/>
            <w:right w:w="108" w:type="dxa"/>
          </w:tblCellMar>
        </w:tblPrEx>
        <w:trPr>
          <w:trHeight w:val="214" w:hRule="atLeast"/>
          <w:jc w:val="center"/>
        </w:trPr>
        <w:tc>
          <w:tcPr>
            <w:tcW w:w="5230"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Noise floor referred to antenna port (dBm)  5MHz</w:t>
            </w:r>
          </w:p>
        </w:tc>
        <w:tc>
          <w:tcPr>
            <w:tcW w:w="2884" w:type="dxa"/>
            <w:gridSpan w:val="2"/>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kinsoku/>
              <w:wordWrap/>
              <w:overflowPunct/>
              <w:topLinePunct w:val="0"/>
              <w:autoSpaceDE/>
              <w:autoSpaceDN/>
              <w:bidi w:val="0"/>
              <w:adjustRightInd/>
              <w:snapToGrid/>
              <w:spacing w:beforeLines="0" w:afterLines="0" w:line="240" w:lineRule="auto"/>
              <w:jc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-96.0</w:t>
            </w:r>
          </w:p>
        </w:tc>
      </w:tr>
      <w:tr>
        <w:tblPrEx>
          <w:tblCellMar>
            <w:top w:w="0" w:type="dxa"/>
            <w:left w:w="108" w:type="dxa"/>
            <w:bottom w:w="0" w:type="dxa"/>
            <w:right w:w="108" w:type="dxa"/>
          </w:tblCellMar>
        </w:tblPrEx>
        <w:trPr>
          <w:trHeight w:val="227" w:hRule="atLeast"/>
          <w:jc w:val="center"/>
        </w:trPr>
        <w:tc>
          <w:tcPr>
            <w:tcW w:w="5230"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The degradation of the REFSEN  (dB)</w:t>
            </w:r>
          </w:p>
        </w:tc>
        <w:tc>
          <w:tcPr>
            <w:tcW w:w="1871"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3</w:t>
            </w:r>
            <w:r>
              <w:rPr>
                <w:rFonts w:hint="eastAsia" w:ascii="Times New Roman" w:hAnsi="Times New Roman" w:cs="Times New Roman"/>
                <w:i w:val="0"/>
                <w:iCs w:val="0"/>
                <w:color w:val="000000"/>
                <w:kern w:val="0"/>
                <w:sz w:val="20"/>
                <w:szCs w:val="20"/>
                <w:u w:val="none"/>
                <w:lang w:val="en-US" w:eastAsia="zh-CN" w:bidi="ar"/>
              </w:rPr>
              <w:t>1.5</w:t>
            </w:r>
          </w:p>
        </w:tc>
        <w:tc>
          <w:tcPr>
            <w:tcW w:w="1013"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3</w:t>
            </w:r>
            <w:r>
              <w:rPr>
                <w:rFonts w:hint="eastAsia" w:ascii="Times New Roman" w:hAnsi="Times New Roman" w:cs="Times New Roman"/>
                <w:i w:val="0"/>
                <w:iCs w:val="0"/>
                <w:color w:val="000000"/>
                <w:kern w:val="0"/>
                <w:sz w:val="20"/>
                <w:szCs w:val="20"/>
                <w:u w:val="none"/>
                <w:lang w:val="en-US" w:eastAsia="zh-CN" w:bidi="ar"/>
              </w:rPr>
              <w:t>1.5</w:t>
            </w:r>
          </w:p>
        </w:tc>
      </w:tr>
      <w:tr>
        <w:tblPrEx>
          <w:tblCellMar>
            <w:top w:w="0" w:type="dxa"/>
            <w:left w:w="108" w:type="dxa"/>
            <w:bottom w:w="0" w:type="dxa"/>
            <w:right w:w="108" w:type="dxa"/>
          </w:tblCellMar>
        </w:tblPrEx>
        <w:trPr>
          <w:trHeight w:val="147" w:hRule="atLeast"/>
          <w:jc w:val="center"/>
        </w:trPr>
        <w:tc>
          <w:tcPr>
            <w:tcW w:w="5230"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MSD after MRC  (dB)</w:t>
            </w:r>
          </w:p>
        </w:tc>
        <w:tc>
          <w:tcPr>
            <w:tcW w:w="2884" w:type="dxa"/>
            <w:gridSpan w:val="2"/>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kinsoku/>
              <w:wordWrap/>
              <w:overflowPunct/>
              <w:topLinePunct w:val="0"/>
              <w:autoSpaceDE/>
              <w:autoSpaceDN/>
              <w:bidi w:val="0"/>
              <w:adjustRightInd/>
              <w:snapToGrid/>
              <w:spacing w:beforeLines="0" w:afterLines="0" w:line="240" w:lineRule="auto"/>
              <w:jc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3</w:t>
            </w:r>
            <w:r>
              <w:rPr>
                <w:rFonts w:hint="eastAsia" w:ascii="Times New Roman" w:hAnsi="Times New Roman" w:cs="Times New Roman"/>
                <w:i w:val="0"/>
                <w:iCs w:val="0"/>
                <w:color w:val="000000"/>
                <w:kern w:val="0"/>
                <w:sz w:val="20"/>
                <w:szCs w:val="20"/>
                <w:u w:val="none"/>
                <w:lang w:val="en-US" w:eastAsia="zh-CN" w:bidi="ar"/>
              </w:rPr>
              <w:t>1.5</w:t>
            </w:r>
          </w:p>
        </w:tc>
      </w:tr>
    </w:tbl>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center"/>
        <w:textAlignment w:val="auto"/>
        <w:rPr>
          <w:rFonts w:hint="eastAsia"/>
          <w:b w:val="0"/>
          <w:bCs w:val="0"/>
          <w:i w:val="0"/>
          <w:iCs w:val="0"/>
          <w:sz w:val="20"/>
          <w:szCs w:val="20"/>
          <w:highlight w:val="none"/>
          <w:lang w:val="en-US" w:eastAsia="zh-CN"/>
        </w:rPr>
      </w:pPr>
      <w:r>
        <w:rPr>
          <w:rFonts w:hint="eastAsia"/>
          <w:b w:val="0"/>
          <w:bCs w:val="0"/>
          <w:i w:val="0"/>
          <w:iCs w:val="0"/>
          <w:sz w:val="20"/>
          <w:szCs w:val="20"/>
          <w:highlight w:val="none"/>
          <w:lang w:val="en-US" w:eastAsia="zh-CN"/>
        </w:rPr>
        <w:t>Table 1. MSD for CA_n41C CA ACLR2 to n40</w:t>
      </w:r>
    </w:p>
    <w:tbl>
      <w:tblPr>
        <w:tblStyle w:val="22"/>
        <w:tblW w:w="8114" w:type="dxa"/>
        <w:jc w:val="center"/>
        <w:shd w:val="clear" w:color="auto" w:fill="auto"/>
        <w:tblLayout w:type="fixed"/>
        <w:tblCellMar>
          <w:top w:w="0" w:type="dxa"/>
          <w:left w:w="108" w:type="dxa"/>
          <w:bottom w:w="0" w:type="dxa"/>
          <w:right w:w="108" w:type="dxa"/>
        </w:tblCellMar>
      </w:tblPr>
      <w:tblGrid>
        <w:gridCol w:w="5230"/>
        <w:gridCol w:w="1871"/>
        <w:gridCol w:w="1013"/>
      </w:tblGrid>
      <w:tr>
        <w:tblPrEx>
          <w:tblCellMar>
            <w:top w:w="0" w:type="dxa"/>
            <w:left w:w="108" w:type="dxa"/>
            <w:bottom w:w="0" w:type="dxa"/>
            <w:right w:w="108" w:type="dxa"/>
          </w:tblCellMar>
        </w:tblPrEx>
        <w:trPr>
          <w:trHeight w:val="273" w:hRule="atLeast"/>
          <w:jc w:val="center"/>
        </w:trPr>
        <w:tc>
          <w:tcPr>
            <w:tcW w:w="5230"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total interference noise</w:t>
            </w:r>
          </w:p>
        </w:tc>
        <w:tc>
          <w:tcPr>
            <w:tcW w:w="1871"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kinsoku/>
              <w:wordWrap/>
              <w:overflowPunct/>
              <w:topLinePunct w:val="0"/>
              <w:autoSpaceDE/>
              <w:autoSpaceDN/>
              <w:bidi w:val="0"/>
              <w:adjustRightInd/>
              <w:snapToGrid/>
              <w:spacing w:beforeLines="0" w:afterLines="0" w:line="240" w:lineRule="auto"/>
              <w:jc w:val="center"/>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Main</w:t>
            </w:r>
          </w:p>
        </w:tc>
        <w:tc>
          <w:tcPr>
            <w:tcW w:w="1013"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kinsoku/>
              <w:wordWrap/>
              <w:overflowPunct/>
              <w:topLinePunct w:val="0"/>
              <w:autoSpaceDE/>
              <w:autoSpaceDN/>
              <w:bidi w:val="0"/>
              <w:adjustRightInd/>
              <w:snapToGrid/>
              <w:spacing w:beforeLines="0" w:afterLines="0" w:line="240" w:lineRule="auto"/>
              <w:jc w:val="center"/>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Diversity</w:t>
            </w:r>
          </w:p>
        </w:tc>
      </w:tr>
      <w:tr>
        <w:tblPrEx>
          <w:tblCellMar>
            <w:top w:w="0" w:type="dxa"/>
            <w:left w:w="108" w:type="dxa"/>
            <w:bottom w:w="0" w:type="dxa"/>
            <w:right w:w="108" w:type="dxa"/>
          </w:tblCellMar>
        </w:tblPrEx>
        <w:trPr>
          <w:trHeight w:val="264" w:hRule="atLeast"/>
          <w:jc w:val="center"/>
        </w:trPr>
        <w:tc>
          <w:tcPr>
            <w:tcW w:w="523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Total interference noise referred to antenna port (dBm)</w:t>
            </w:r>
          </w:p>
        </w:tc>
        <w:tc>
          <w:tcPr>
            <w:tcW w:w="1871"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w:t>
            </w:r>
            <w:r>
              <w:rPr>
                <w:rFonts w:hint="eastAsia" w:cs="Times New Roman"/>
                <w:i w:val="0"/>
                <w:iCs w:val="0"/>
                <w:color w:val="000000"/>
                <w:kern w:val="0"/>
                <w:sz w:val="20"/>
                <w:szCs w:val="20"/>
                <w:u w:val="none"/>
                <w:lang w:val="en-US" w:eastAsia="zh-CN" w:bidi="ar"/>
              </w:rPr>
              <w:t>74.3</w:t>
            </w:r>
          </w:p>
        </w:tc>
        <w:tc>
          <w:tcPr>
            <w:tcW w:w="1013"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w:t>
            </w:r>
            <w:r>
              <w:rPr>
                <w:rFonts w:hint="eastAsia" w:cs="Times New Roman"/>
                <w:i w:val="0"/>
                <w:iCs w:val="0"/>
                <w:color w:val="000000"/>
                <w:kern w:val="0"/>
                <w:sz w:val="20"/>
                <w:szCs w:val="20"/>
                <w:u w:val="none"/>
                <w:lang w:val="en-US" w:eastAsia="zh-CN" w:bidi="ar"/>
              </w:rPr>
              <w:t>74.3</w:t>
            </w:r>
          </w:p>
        </w:tc>
      </w:tr>
      <w:tr>
        <w:tblPrEx>
          <w:tblCellMar>
            <w:top w:w="0" w:type="dxa"/>
            <w:left w:w="108" w:type="dxa"/>
            <w:bottom w:w="0" w:type="dxa"/>
            <w:right w:w="108" w:type="dxa"/>
          </w:tblCellMar>
        </w:tblPrEx>
        <w:trPr>
          <w:trHeight w:val="214" w:hRule="atLeast"/>
          <w:jc w:val="center"/>
        </w:trPr>
        <w:tc>
          <w:tcPr>
            <w:tcW w:w="5230"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Noise floor referred to antenna port (dBm)  5MHz</w:t>
            </w:r>
          </w:p>
        </w:tc>
        <w:tc>
          <w:tcPr>
            <w:tcW w:w="2884" w:type="dxa"/>
            <w:gridSpan w:val="2"/>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kinsoku/>
              <w:wordWrap/>
              <w:overflowPunct/>
              <w:topLinePunct w:val="0"/>
              <w:autoSpaceDE/>
              <w:autoSpaceDN/>
              <w:bidi w:val="0"/>
              <w:adjustRightInd/>
              <w:snapToGrid/>
              <w:spacing w:beforeLines="0" w:afterLines="0" w:line="240" w:lineRule="auto"/>
              <w:jc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-96.0</w:t>
            </w:r>
          </w:p>
        </w:tc>
      </w:tr>
      <w:tr>
        <w:tblPrEx>
          <w:tblCellMar>
            <w:top w:w="0" w:type="dxa"/>
            <w:left w:w="108" w:type="dxa"/>
            <w:bottom w:w="0" w:type="dxa"/>
            <w:right w:w="108" w:type="dxa"/>
          </w:tblCellMar>
        </w:tblPrEx>
        <w:trPr>
          <w:trHeight w:val="227" w:hRule="atLeast"/>
          <w:jc w:val="center"/>
        </w:trPr>
        <w:tc>
          <w:tcPr>
            <w:tcW w:w="5230"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The degradation of the REFSEN  (dB)</w:t>
            </w:r>
          </w:p>
        </w:tc>
        <w:tc>
          <w:tcPr>
            <w:tcW w:w="1871"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kern w:val="0"/>
                <w:sz w:val="20"/>
                <w:szCs w:val="20"/>
                <w:u w:val="none"/>
                <w:lang w:val="en-US" w:eastAsia="zh-CN" w:bidi="ar"/>
              </w:rPr>
              <w:t>21.7</w:t>
            </w:r>
          </w:p>
        </w:tc>
        <w:tc>
          <w:tcPr>
            <w:tcW w:w="1013"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kern w:val="0"/>
                <w:sz w:val="20"/>
                <w:szCs w:val="20"/>
                <w:u w:val="none"/>
                <w:lang w:val="en-US" w:eastAsia="zh-CN" w:bidi="ar"/>
              </w:rPr>
              <w:t>21.7</w:t>
            </w:r>
          </w:p>
        </w:tc>
      </w:tr>
      <w:tr>
        <w:tblPrEx>
          <w:tblCellMar>
            <w:top w:w="0" w:type="dxa"/>
            <w:left w:w="108" w:type="dxa"/>
            <w:bottom w:w="0" w:type="dxa"/>
            <w:right w:w="108" w:type="dxa"/>
          </w:tblCellMar>
        </w:tblPrEx>
        <w:trPr>
          <w:trHeight w:val="147" w:hRule="atLeast"/>
          <w:jc w:val="center"/>
        </w:trPr>
        <w:tc>
          <w:tcPr>
            <w:tcW w:w="5230" w:type="dxa"/>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MSD after MRC  (dB)</w:t>
            </w:r>
          </w:p>
        </w:tc>
        <w:tc>
          <w:tcPr>
            <w:tcW w:w="2884" w:type="dxa"/>
            <w:gridSpan w:val="2"/>
            <w:tcBorders>
              <w:top w:val="single" w:color="000000" w:sz="8" w:space="0"/>
              <w:left w:val="single" w:color="000000" w:sz="8" w:space="0"/>
              <w:bottom w:val="single" w:color="000000" w:sz="8" w:space="0"/>
              <w:right w:val="single" w:color="000000" w:sz="8" w:space="0"/>
            </w:tcBorders>
            <w:shd w:val="clear" w:color="auto" w:fill="auto"/>
            <w:noWrap/>
            <w:vAlign w:val="top"/>
          </w:tcPr>
          <w:p>
            <w:pPr>
              <w:keepNext/>
              <w:keepLines/>
              <w:pageBreakBefore w:val="0"/>
              <w:widowControl/>
              <w:kinsoku/>
              <w:wordWrap/>
              <w:overflowPunct/>
              <w:topLinePunct w:val="0"/>
              <w:autoSpaceDE/>
              <w:autoSpaceDN/>
              <w:bidi w:val="0"/>
              <w:adjustRightInd/>
              <w:snapToGrid/>
              <w:spacing w:beforeLines="0" w:afterLines="0" w:line="240" w:lineRule="auto"/>
              <w:jc w:val="center"/>
              <w:rPr>
                <w:rFonts w:hint="default" w:ascii="Times New Roman" w:hAnsi="Times New Roman" w:eastAsia="宋体" w:cs="Times New Roman"/>
                <w:i w:val="0"/>
                <w:iCs w:val="0"/>
                <w:color w:val="000000"/>
                <w:sz w:val="20"/>
                <w:szCs w:val="20"/>
                <w:u w:val="none"/>
                <w:lang w:val="en-US"/>
              </w:rPr>
            </w:pPr>
            <w:r>
              <w:rPr>
                <w:rFonts w:hint="eastAsia" w:cs="Times New Roman"/>
                <w:i w:val="0"/>
                <w:iCs w:val="0"/>
                <w:color w:val="000000"/>
                <w:kern w:val="0"/>
                <w:sz w:val="20"/>
                <w:szCs w:val="20"/>
                <w:u w:val="none"/>
                <w:lang w:val="en-US" w:eastAsia="zh-CN" w:bidi="ar"/>
              </w:rPr>
              <w:t>21.7</w:t>
            </w:r>
          </w:p>
        </w:tc>
      </w:tr>
    </w:tbl>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eastAsia="宋体"/>
          <w:b/>
          <w:bCs/>
          <w:i/>
          <w:iCs/>
          <w:sz w:val="20"/>
          <w:szCs w:val="20"/>
          <w:highlight w:val="none"/>
          <w:lang w:val="en-US" w:eastAsia="zh-CN"/>
        </w:rPr>
      </w:pPr>
      <w:r>
        <w:rPr>
          <w:rFonts w:hint="eastAsia"/>
          <w:b/>
          <w:bCs/>
          <w:i/>
          <w:iCs/>
          <w:sz w:val="20"/>
          <w:szCs w:val="20"/>
          <w:highlight w:val="none"/>
          <w:lang w:val="en-US" w:eastAsia="zh-CN"/>
        </w:rPr>
        <w:t xml:space="preserve">Observation 2: The cross band isolation MSD caused by fully </w:t>
      </w:r>
      <w:r>
        <w:rPr>
          <w:rFonts w:hint="eastAsia"/>
          <w:b/>
          <w:bCs/>
          <w:i/>
          <w:iCs/>
          <w:sz w:val="20"/>
          <w:szCs w:val="20"/>
          <w:highlight w:val="none"/>
          <w:lang w:val="en-GB" w:eastAsia="en-US"/>
        </w:rPr>
        <w:t>allocated maximum aggregated BW</w:t>
      </w:r>
      <w:r>
        <w:rPr>
          <w:rFonts w:hint="eastAsia"/>
          <w:b/>
          <w:bCs/>
          <w:i/>
          <w:iCs/>
          <w:sz w:val="20"/>
          <w:szCs w:val="20"/>
          <w:highlight w:val="none"/>
          <w:lang w:val="en-US" w:eastAsia="zh-CN"/>
        </w:rPr>
        <w:t xml:space="preserve"> of UL CA_n41C falls into n40 is 31.5dB and 21.7dB for CA ACLR1 and CA ACLR2, respectively.</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line="260" w:lineRule="auto"/>
        <w:jc w:val="left"/>
        <w:textAlignment w:val="auto"/>
        <w:outlineLvl w:val="1"/>
        <w:rPr>
          <w:rFonts w:hint="default" w:cs="Times New Roman"/>
          <w:b/>
          <w:bCs/>
          <w:sz w:val="20"/>
          <w:szCs w:val="20"/>
          <w:lang w:val="en-US" w:eastAsia="zh-CN"/>
        </w:rPr>
      </w:pPr>
      <w:r>
        <w:rPr>
          <w:rFonts w:hint="eastAsia" w:cs="Times New Roman"/>
          <w:b/>
          <w:bCs/>
          <w:sz w:val="20"/>
          <w:szCs w:val="20"/>
          <w:lang w:val="en-US" w:eastAsia="zh-CN"/>
        </w:rPr>
        <w:t>2.3 Cross-band isolation MSD for n41C to n79</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val="0"/>
          <w:bCs w:val="0"/>
          <w:i w:val="0"/>
          <w:iCs w:val="0"/>
          <w:sz w:val="20"/>
          <w:szCs w:val="20"/>
          <w:highlight w:val="none"/>
          <w:lang w:val="en-US" w:eastAsia="zh-CN"/>
        </w:rPr>
      </w:pPr>
      <w:r>
        <w:rPr>
          <w:rFonts w:hint="eastAsia"/>
          <w:b w:val="0"/>
          <w:bCs w:val="0"/>
          <w:i w:val="0"/>
          <w:iCs w:val="0"/>
          <w:sz w:val="20"/>
          <w:szCs w:val="20"/>
          <w:highlight w:val="none"/>
          <w:lang w:val="en-US" w:eastAsia="zh-CN"/>
        </w:rPr>
        <w:t>Since the frequency separation between the upper n41 frequency and the lower n79 frequency is larger than CA ACLR2 regions, we think there is no need to define additional cross band isolation MSD requirements for CA ACLR2 region since the CA ACLR2 region is already within the single carrier &gt;ACLR2 region, which means the cross band isolation MSD of single carrier for &gt;ACLR2 interference source can be re-used.</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b w:val="0"/>
          <w:bCs w:val="0"/>
          <w:i w:val="0"/>
          <w:iCs w:val="0"/>
          <w:sz w:val="20"/>
          <w:szCs w:val="20"/>
          <w:highlight w:val="none"/>
          <w:lang w:val="en-US" w:eastAsia="zh-CN"/>
        </w:rPr>
      </w:pPr>
      <w:r>
        <w:rPr>
          <w:rFonts w:hint="eastAsia"/>
          <w:b w:val="0"/>
          <w:bCs w:val="0"/>
          <w:i w:val="0"/>
          <w:iCs w:val="0"/>
          <w:sz w:val="20"/>
          <w:szCs w:val="20"/>
          <w:highlight w:val="none"/>
          <w:lang w:val="en-US" w:eastAsia="zh-CN"/>
        </w:rPr>
        <w:t>In the existing spec, there are no cross band isolation MSD defined for n41A to n79. Thus there is also no need to define additional MSD requirements for CA ACLR2 region of UL CA_n41C.</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b w:val="0"/>
          <w:bCs w:val="0"/>
          <w:i w:val="0"/>
          <w:iCs w:val="0"/>
          <w:sz w:val="20"/>
          <w:szCs w:val="20"/>
          <w:highlight w:val="none"/>
          <w:lang w:val="en-US" w:eastAsia="zh-CN"/>
        </w:rPr>
      </w:pPr>
      <w:r>
        <w:rPr>
          <w:rFonts w:hint="eastAsia"/>
          <w:b/>
          <w:bCs/>
          <w:i/>
          <w:iCs/>
          <w:sz w:val="20"/>
          <w:szCs w:val="20"/>
          <w:highlight w:val="none"/>
          <w:lang w:val="en-US" w:eastAsia="zh-CN"/>
        </w:rPr>
        <w:t xml:space="preserve">Observation 3: There is no need to define additional </w:t>
      </w:r>
      <w:r>
        <w:rPr>
          <w:rFonts w:hint="eastAsia"/>
          <w:b/>
          <w:bCs/>
          <w:i/>
          <w:iCs/>
          <w:sz w:val="20"/>
          <w:szCs w:val="20"/>
          <w:highlight w:val="none"/>
          <w:lang w:val="en-US" w:eastAsia="zh-CN"/>
        </w:rPr>
        <w:t>cross band isolation MSD requirements</w:t>
      </w:r>
      <w:r>
        <w:rPr>
          <w:rFonts w:hint="eastAsia"/>
          <w:b/>
          <w:bCs/>
          <w:i/>
          <w:iCs/>
          <w:sz w:val="20"/>
          <w:szCs w:val="20"/>
          <w:highlight w:val="none"/>
          <w:lang w:val="en-US" w:eastAsia="zh-CN"/>
        </w:rPr>
        <w:t xml:space="preserve"> caused by fully </w:t>
      </w:r>
      <w:r>
        <w:rPr>
          <w:rFonts w:hint="eastAsia"/>
          <w:b/>
          <w:bCs/>
          <w:i/>
          <w:iCs/>
          <w:sz w:val="20"/>
          <w:szCs w:val="20"/>
          <w:highlight w:val="none"/>
          <w:lang w:val="en-GB" w:eastAsia="en-US"/>
        </w:rPr>
        <w:t>allocated maximum aggregated BW</w:t>
      </w:r>
      <w:r>
        <w:rPr>
          <w:rFonts w:hint="eastAsia"/>
          <w:b/>
          <w:bCs/>
          <w:i/>
          <w:iCs/>
          <w:sz w:val="20"/>
          <w:szCs w:val="20"/>
          <w:highlight w:val="none"/>
          <w:lang w:val="en-US" w:eastAsia="zh-CN"/>
        </w:rPr>
        <w:t xml:space="preserve"> of UL CA_n41C falls into n79.</w:t>
      </w:r>
    </w:p>
    <w:bookmarkEnd w:id="13"/>
    <w:bookmarkEnd w:id="14"/>
    <w:bookmarkEnd w:id="15"/>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we give some discussions on</w:t>
      </w:r>
      <w:r>
        <w:rPr>
          <w:rFonts w:hint="eastAsia" w:cs="Times New Roman"/>
          <w:sz w:val="20"/>
          <w:szCs w:val="20"/>
          <w:lang w:val="en-US" w:eastAsia="zh-CN"/>
        </w:rPr>
        <w:t xml:space="preserve"> the MSD requirements with intra-band contiguous UL CA, and also the cross band isolation MSD for CA_n40A-n41C and CA_n41CA-n79A</w:t>
      </w:r>
      <w:bookmarkStart w:id="19" w:name="_GoBack"/>
      <w:bookmarkEnd w:id="19"/>
      <w:r>
        <w:rPr>
          <w:rFonts w:hint="eastAsia" w:cs="Times New Roman"/>
          <w:sz w:val="20"/>
          <w:szCs w:val="20"/>
          <w:lang w:val="en-US" w:eastAsia="zh-CN"/>
        </w:rPr>
        <w:t xml:space="preserve"> .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eastAsia="宋体"/>
          <w:b/>
          <w:bCs/>
          <w:i/>
          <w:iCs/>
          <w:sz w:val="20"/>
          <w:highlight w:val="none"/>
          <w:lang w:val="en-US" w:eastAsia="zh-CN"/>
        </w:rPr>
      </w:pPr>
      <w:r>
        <w:rPr>
          <w:rFonts w:hint="default" w:eastAsia="宋体"/>
          <w:b/>
          <w:bCs/>
          <w:i/>
          <w:iCs/>
          <w:sz w:val="20"/>
          <w:highlight w:val="none"/>
          <w:lang w:val="en-US" w:eastAsia="zh-CN"/>
        </w:rPr>
        <w:t>Proposal</w:t>
      </w:r>
      <w:r>
        <w:rPr>
          <w:rFonts w:hint="eastAsia" w:eastAsia="宋体"/>
          <w:b/>
          <w:bCs/>
          <w:i/>
          <w:iCs/>
          <w:sz w:val="20"/>
          <w:highlight w:val="none"/>
          <w:lang w:val="en-US" w:eastAsia="zh-CN"/>
        </w:rPr>
        <w:t xml:space="preserve"> 1</w:t>
      </w:r>
      <w:r>
        <w:rPr>
          <w:rFonts w:hint="default" w:eastAsia="宋体"/>
          <w:b/>
          <w:bCs/>
          <w:i/>
          <w:iCs/>
          <w:sz w:val="20"/>
          <w:highlight w:val="none"/>
          <w:lang w:val="en-US" w:eastAsia="zh-CN"/>
        </w:rPr>
        <w:t xml:space="preserve">: </w:t>
      </w:r>
      <w:r>
        <w:rPr>
          <w:rFonts w:hint="eastAsia" w:eastAsia="宋体"/>
          <w:b/>
          <w:bCs/>
          <w:i/>
          <w:iCs/>
          <w:sz w:val="20"/>
          <w:highlight w:val="none"/>
          <w:lang w:val="en-US" w:eastAsia="zh-CN"/>
        </w:rPr>
        <w:t>R</w:t>
      </w:r>
      <w:r>
        <w:rPr>
          <w:rFonts w:hint="eastAsia" w:eastAsia="宋体"/>
          <w:b/>
          <w:bCs/>
          <w:i/>
          <w:iCs/>
          <w:sz w:val="20"/>
          <w:highlight w:val="none"/>
          <w:lang w:eastAsia="zh-CN"/>
        </w:rPr>
        <w:t>e-considered</w:t>
      </w:r>
      <w:r>
        <w:rPr>
          <w:rFonts w:hint="eastAsia" w:eastAsia="宋体"/>
          <w:b/>
          <w:bCs/>
          <w:i/>
          <w:iCs/>
          <w:sz w:val="20"/>
          <w:highlight w:val="none"/>
          <w:lang w:val="en-US" w:eastAsia="zh-CN"/>
        </w:rPr>
        <w:t xml:space="preserve"> </w:t>
      </w:r>
      <w:r>
        <w:rPr>
          <w:rFonts w:hint="eastAsia" w:eastAsia="宋体"/>
          <w:b/>
          <w:bCs/>
          <w:i/>
          <w:iCs/>
          <w:sz w:val="20"/>
          <w:highlight w:val="none"/>
          <w:lang w:eastAsia="zh-CN"/>
        </w:rPr>
        <w:t>1RB+1RB</w:t>
      </w:r>
      <w:r>
        <w:rPr>
          <w:rFonts w:hint="eastAsia" w:eastAsia="宋体"/>
          <w:b/>
          <w:bCs/>
          <w:i/>
          <w:iCs/>
          <w:sz w:val="20"/>
          <w:highlight w:val="none"/>
          <w:lang w:val="en-US" w:eastAsia="zh-CN"/>
        </w:rPr>
        <w:t xml:space="preserve"> </w:t>
      </w:r>
      <w:r>
        <w:rPr>
          <w:rFonts w:hint="eastAsia" w:eastAsia="宋体"/>
          <w:b/>
          <w:bCs/>
          <w:i/>
          <w:iCs/>
          <w:sz w:val="20"/>
          <w:highlight w:val="none"/>
          <w:lang w:eastAsia="zh-CN"/>
        </w:rPr>
        <w:t xml:space="preserve">RB allocation for intra-band </w:t>
      </w:r>
      <w:r>
        <w:rPr>
          <w:rFonts w:hint="eastAsia" w:eastAsia="宋体"/>
          <w:b/>
          <w:bCs/>
          <w:i/>
          <w:iCs/>
          <w:sz w:val="20"/>
          <w:highlight w:val="none"/>
          <w:lang w:val="en-US" w:eastAsia="zh-CN"/>
        </w:rPr>
        <w:t xml:space="preserve">TDD </w:t>
      </w:r>
      <w:r>
        <w:rPr>
          <w:rFonts w:hint="eastAsia" w:eastAsia="宋体"/>
          <w:b/>
          <w:bCs/>
          <w:i/>
          <w:iCs/>
          <w:sz w:val="20"/>
          <w:highlight w:val="none"/>
          <w:lang w:eastAsia="zh-CN"/>
        </w:rPr>
        <w:t>ULCA within an inter-band DL CA</w:t>
      </w:r>
      <w:r>
        <w:rPr>
          <w:rFonts w:hint="eastAsia"/>
          <w:b/>
          <w:bCs/>
          <w:i/>
          <w:iCs/>
          <w:sz w:val="20"/>
          <w:highlight w:val="none"/>
          <w:lang w:val="en-US" w:eastAsia="zh-CN"/>
        </w:rPr>
        <w:t xml:space="preserve"> if possible</w:t>
      </w:r>
      <w:r>
        <w:rPr>
          <w:rFonts w:hint="eastAsia" w:eastAsia="宋体"/>
          <w:b/>
          <w:bCs/>
          <w:i/>
          <w:iCs/>
          <w:sz w:val="20"/>
          <w:highlight w:val="none"/>
          <w:lang w:val="en-US" w:eastAsia="zh-CN"/>
        </w:rPr>
        <w:t>.</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eastAsia="宋体"/>
          <w:b/>
          <w:bCs/>
          <w:i/>
          <w:iCs/>
          <w:sz w:val="20"/>
          <w:szCs w:val="20"/>
          <w:highlight w:val="none"/>
          <w:lang w:val="en-US" w:eastAsia="zh-CN"/>
        </w:rPr>
      </w:pPr>
      <w:r>
        <w:rPr>
          <w:rFonts w:hint="eastAsia"/>
          <w:b/>
          <w:bCs/>
          <w:i/>
          <w:iCs/>
          <w:sz w:val="20"/>
          <w:szCs w:val="20"/>
          <w:highlight w:val="none"/>
          <w:lang w:val="en-US" w:eastAsia="zh-CN"/>
        </w:rPr>
        <w:t>Observation 1: In current spec, there are no cross band isolation MSD defined for</w:t>
      </w:r>
      <w:r>
        <w:rPr>
          <w:rFonts w:hint="eastAsia"/>
          <w:b/>
          <w:bCs/>
          <w:i/>
          <w:iCs/>
          <w:sz w:val="20"/>
          <w:szCs w:val="20"/>
          <w:highlight w:val="none"/>
          <w:lang w:val="en-GB" w:eastAsia="en-US"/>
        </w:rPr>
        <w:t xml:space="preserve"> intra-band contiguous UL CA configured with fully allocated maximum aggregated BW</w:t>
      </w:r>
      <w:r>
        <w:rPr>
          <w:rFonts w:hint="eastAsia"/>
          <w:b/>
          <w:bCs/>
          <w:i/>
          <w:iCs/>
          <w:sz w:val="20"/>
          <w:szCs w:val="20"/>
          <w:highlight w:val="none"/>
          <w:lang w:val="en-US" w:eastAsia="zh-CN"/>
        </w:rPr>
        <w:t>.</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 xml:space="preserve">Proposal 2: If the </w:t>
      </w:r>
      <w:r>
        <w:rPr>
          <w:rFonts w:hint="eastAsia"/>
          <w:b/>
          <w:bCs/>
          <w:i/>
          <w:iCs/>
          <w:sz w:val="20"/>
          <w:szCs w:val="20"/>
          <w:highlight w:val="none"/>
          <w:lang w:val="en-GB" w:eastAsia="en-US"/>
        </w:rPr>
        <w:t>cross-band MSD requirements resulting from intra-band contiguous UL CA configured with fully allocated maximum aggregated BW</w:t>
      </w:r>
      <w:r>
        <w:rPr>
          <w:rFonts w:hint="eastAsia"/>
          <w:b/>
          <w:bCs/>
          <w:i/>
          <w:iCs/>
          <w:sz w:val="20"/>
          <w:szCs w:val="20"/>
          <w:highlight w:val="none"/>
          <w:lang w:val="en-US" w:eastAsia="zh-CN"/>
        </w:rPr>
        <w:t xml:space="preserve"> is considered to be defined:</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ind w:firstLine="40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 Only to define new cross band isolation MSD for CA ACLR1/ACLR2 interference source</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ind w:firstLine="400"/>
        <w:jc w:val="left"/>
        <w:textAlignment w:val="auto"/>
        <w:rPr>
          <w:rFonts w:hint="eastAsia"/>
          <w:b/>
          <w:bCs/>
          <w:i/>
          <w:iCs/>
          <w:sz w:val="20"/>
          <w:szCs w:val="20"/>
          <w:highlight w:val="none"/>
          <w:lang w:val="en-US" w:eastAsia="zh-CN"/>
        </w:rPr>
      </w:pPr>
      <w:r>
        <w:rPr>
          <w:rFonts w:hint="eastAsia"/>
          <w:b/>
          <w:bCs/>
          <w:i/>
          <w:iCs/>
          <w:sz w:val="20"/>
          <w:szCs w:val="20"/>
          <w:highlight w:val="none"/>
          <w:lang w:val="en-US" w:eastAsia="zh-CN"/>
        </w:rPr>
        <w:t>- To reuse cross band isolation MSD of single carrier for &gt;ACLR2 interference source</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eastAsia="宋体"/>
          <w:b/>
          <w:bCs/>
          <w:i/>
          <w:iCs/>
          <w:sz w:val="20"/>
          <w:szCs w:val="20"/>
          <w:highlight w:val="none"/>
          <w:lang w:val="en-US" w:eastAsia="zh-CN"/>
        </w:rPr>
      </w:pPr>
      <w:r>
        <w:rPr>
          <w:rFonts w:hint="eastAsia"/>
          <w:b/>
          <w:bCs/>
          <w:i/>
          <w:iCs/>
          <w:sz w:val="20"/>
          <w:szCs w:val="20"/>
          <w:highlight w:val="none"/>
          <w:lang w:val="en-US" w:eastAsia="zh-CN"/>
        </w:rPr>
        <w:t xml:space="preserve">Observation 2: The cross band isolation MSD caused by fully </w:t>
      </w:r>
      <w:r>
        <w:rPr>
          <w:rFonts w:hint="eastAsia"/>
          <w:b/>
          <w:bCs/>
          <w:i/>
          <w:iCs/>
          <w:sz w:val="20"/>
          <w:szCs w:val="20"/>
          <w:highlight w:val="none"/>
          <w:lang w:val="en-GB" w:eastAsia="en-US"/>
        </w:rPr>
        <w:t>allocated maximum aggregated BW</w:t>
      </w:r>
      <w:r>
        <w:rPr>
          <w:rFonts w:hint="eastAsia"/>
          <w:b/>
          <w:bCs/>
          <w:i/>
          <w:iCs/>
          <w:sz w:val="20"/>
          <w:szCs w:val="20"/>
          <w:highlight w:val="none"/>
          <w:lang w:val="en-US" w:eastAsia="zh-CN"/>
        </w:rPr>
        <w:t xml:space="preserve"> of UL CA_n41C falls into n40 is 31.5dB and 21.7dB for CA ACLR1 and CA ACLR2, respectively.</w:t>
      </w:r>
    </w:p>
    <w:p>
      <w:pPr>
        <w:keepNext/>
        <w:keepLines/>
        <w:pageBreakBefore w:val="0"/>
        <w:widowControl w:val="0"/>
        <w:numPr>
          <w:ilvl w:val="0"/>
          <w:numId w:val="0"/>
        </w:numPr>
        <w:suppressLineNumbers w:val="0"/>
        <w:kinsoku/>
        <w:wordWrap/>
        <w:overflowPunct/>
        <w:topLinePunct w:val="0"/>
        <w:autoSpaceDE/>
        <w:autoSpaceDN/>
        <w:bidi w:val="0"/>
        <w:adjustRightInd/>
        <w:spacing w:before="120" w:beforeLines="50"/>
        <w:jc w:val="left"/>
        <w:textAlignment w:val="auto"/>
        <w:rPr>
          <w:rFonts w:hint="default"/>
          <w:b w:val="0"/>
          <w:bCs w:val="0"/>
          <w:i w:val="0"/>
          <w:iCs w:val="0"/>
          <w:sz w:val="20"/>
          <w:szCs w:val="20"/>
          <w:highlight w:val="none"/>
          <w:lang w:val="en-US" w:eastAsia="zh-CN"/>
        </w:rPr>
      </w:pPr>
      <w:r>
        <w:rPr>
          <w:rFonts w:hint="eastAsia"/>
          <w:b/>
          <w:bCs/>
          <w:i/>
          <w:iCs/>
          <w:sz w:val="20"/>
          <w:szCs w:val="20"/>
          <w:highlight w:val="none"/>
          <w:lang w:val="en-US" w:eastAsia="zh-CN"/>
        </w:rPr>
        <w:t xml:space="preserve">Observation 3: There is no need to define additional cross band isolation MSD requirements caused by fully </w:t>
      </w:r>
      <w:r>
        <w:rPr>
          <w:rFonts w:hint="eastAsia"/>
          <w:b/>
          <w:bCs/>
          <w:i/>
          <w:iCs/>
          <w:sz w:val="20"/>
          <w:szCs w:val="20"/>
          <w:highlight w:val="none"/>
          <w:lang w:val="en-GB" w:eastAsia="en-US"/>
        </w:rPr>
        <w:t>allocated maximum aggregated BW</w:t>
      </w:r>
      <w:r>
        <w:rPr>
          <w:rFonts w:hint="eastAsia"/>
          <w:b/>
          <w:bCs/>
          <w:i/>
          <w:iCs/>
          <w:sz w:val="20"/>
          <w:szCs w:val="20"/>
          <w:highlight w:val="none"/>
          <w:lang w:val="en-US" w:eastAsia="zh-CN"/>
        </w:rPr>
        <w:t xml:space="preserve"> of UL CA_n41C falls into n79.</w:t>
      </w:r>
    </w:p>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numPr>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ind w:leftChars="0"/>
        <w:jc w:val="left"/>
        <w:textAlignment w:val="auto"/>
        <w:rPr>
          <w:rFonts w:hint="eastAsia" w:ascii="Times New Roman" w:hAnsi="Times New Roman" w:eastAsia="宋体" w:cs="Times New Roman"/>
          <w:b w:val="0"/>
          <w:kern w:val="2"/>
          <w:sz w:val="20"/>
          <w:szCs w:val="20"/>
          <w:lang w:val="en-US" w:eastAsia="zh-CN" w:bidi="ar-SA"/>
        </w:rPr>
      </w:pPr>
      <w:r>
        <w:rPr>
          <w:rFonts w:hint="eastAsia" w:cs="Times New Roman"/>
          <w:b w:val="0"/>
          <w:kern w:val="2"/>
          <w:sz w:val="20"/>
          <w:szCs w:val="20"/>
          <w:lang w:val="en-US" w:eastAsia="zh-CN" w:bidi="ar-SA"/>
        </w:rPr>
        <w:t xml:space="preserve">[1] </w:t>
      </w:r>
      <w:r>
        <w:rPr>
          <w:rFonts w:hint="eastAsia" w:ascii="Times New Roman" w:hAnsi="Times New Roman" w:eastAsia="宋体" w:cs="Times New Roman"/>
          <w:b w:val="0"/>
          <w:kern w:val="2"/>
          <w:sz w:val="20"/>
          <w:szCs w:val="20"/>
          <w:lang w:val="en-US" w:eastAsia="zh-CN" w:bidi="ar-SA"/>
        </w:rPr>
        <w:t>R4-2406676, WF on MSD requirements with intra-band contiguous UL CA, Apple</w:t>
      </w:r>
    </w:p>
    <w:p>
      <w:pPr>
        <w:keepNext/>
        <w:keepLines/>
        <w:pageBreakBefore w:val="0"/>
        <w:widowControl w:val="0"/>
        <w:numPr>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ind w:leftChars="0"/>
        <w:jc w:val="left"/>
        <w:textAlignment w:val="auto"/>
        <w:rPr>
          <w:rFonts w:hint="eastAsia" w:ascii="Times New Roman" w:hAnsi="Times New Roman" w:eastAsia="宋体" w:cs="Times New Roman"/>
          <w:b w:val="0"/>
          <w:kern w:val="2"/>
          <w:sz w:val="20"/>
          <w:szCs w:val="20"/>
          <w:lang w:val="en-US" w:eastAsia="zh-CN" w:bidi="ar-SA"/>
        </w:rPr>
      </w:pPr>
      <w:r>
        <w:rPr>
          <w:rFonts w:hint="eastAsia" w:cs="Times New Roman"/>
          <w:b w:val="0"/>
          <w:kern w:val="2"/>
          <w:sz w:val="20"/>
          <w:szCs w:val="20"/>
          <w:lang w:val="en-US" w:eastAsia="zh-CN" w:bidi="ar-SA"/>
        </w:rPr>
        <w:t xml:space="preserve">[2] </w:t>
      </w:r>
      <w:r>
        <w:rPr>
          <w:rFonts w:hint="eastAsia" w:ascii="Times New Roman" w:hAnsi="Times New Roman" w:eastAsia="宋体" w:cs="Times New Roman"/>
          <w:b w:val="0"/>
          <w:kern w:val="2"/>
          <w:sz w:val="20"/>
          <w:szCs w:val="20"/>
          <w:lang w:val="en-US" w:eastAsia="zh-CN" w:bidi="ar-SA"/>
        </w:rPr>
        <w:t>R4-2411551</w:t>
      </w:r>
      <w:r>
        <w:rPr>
          <w:rFonts w:hint="eastAsia" w:cs="Times New Roman"/>
          <w:b w:val="0"/>
          <w:kern w:val="2"/>
          <w:sz w:val="20"/>
          <w:szCs w:val="20"/>
          <w:lang w:val="en-US" w:eastAsia="zh-CN" w:bidi="ar-SA"/>
        </w:rPr>
        <w:t xml:space="preserve">, </w:t>
      </w:r>
      <w:r>
        <w:rPr>
          <w:rFonts w:hint="eastAsia" w:ascii="Times New Roman" w:hAnsi="Times New Roman" w:eastAsia="宋体" w:cs="Times New Roman"/>
          <w:b w:val="0"/>
          <w:kern w:val="2"/>
          <w:sz w:val="20"/>
          <w:szCs w:val="20"/>
          <w:lang w:val="en-US" w:eastAsia="zh-CN" w:bidi="ar-SA"/>
        </w:rPr>
        <w:t>On intra-band ULCA interference versus single ULCC</w:t>
      </w:r>
      <w:r>
        <w:rPr>
          <w:rFonts w:hint="eastAsia" w:cs="Times New Roman"/>
          <w:b w:val="0"/>
          <w:kern w:val="2"/>
          <w:sz w:val="20"/>
          <w:szCs w:val="20"/>
          <w:lang w:val="en-US" w:eastAsia="zh-CN" w:bidi="ar-SA"/>
        </w:rPr>
        <w:t xml:space="preserve">, </w:t>
      </w:r>
      <w:r>
        <w:rPr>
          <w:rFonts w:hint="eastAsia" w:ascii="Times New Roman" w:hAnsi="Times New Roman" w:eastAsia="宋体" w:cs="Times New Roman"/>
          <w:b w:val="0"/>
          <w:kern w:val="2"/>
          <w:sz w:val="20"/>
          <w:szCs w:val="20"/>
          <w:lang w:val="en-US" w:eastAsia="zh-CN" w:bidi="ar-SA"/>
        </w:rPr>
        <w:t>Skyworks Solutions Inc.</w:t>
      </w:r>
    </w:p>
    <w:p>
      <w:pPr>
        <w:keepNext/>
        <w:keepLines/>
        <w:pageBreakBefore w:val="0"/>
        <w:widowControl w:val="0"/>
        <w:numPr>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ind w:leftChars="0"/>
        <w:jc w:val="left"/>
        <w:textAlignment w:val="auto"/>
        <w:rPr>
          <w:rFonts w:hint="eastAsia" w:ascii="Times New Roman" w:hAnsi="Times New Roman" w:eastAsia="宋体" w:cs="Times New Roman"/>
          <w:b w:val="0"/>
          <w:kern w:val="2"/>
          <w:sz w:val="20"/>
          <w:szCs w:val="20"/>
          <w:lang w:val="en-US" w:eastAsia="zh-CN" w:bidi="ar-SA"/>
        </w:rPr>
      </w:pPr>
      <w:r>
        <w:rPr>
          <w:rFonts w:hint="eastAsia" w:cs="Times New Roman"/>
          <w:b w:val="0"/>
          <w:kern w:val="2"/>
          <w:sz w:val="20"/>
          <w:szCs w:val="20"/>
          <w:lang w:val="en-US" w:eastAsia="zh-CN" w:bidi="ar-SA"/>
        </w:rPr>
        <w:t xml:space="preserve">[3] </w:t>
      </w:r>
      <w:r>
        <w:rPr>
          <w:rFonts w:hint="eastAsia" w:ascii="Times New Roman" w:hAnsi="Times New Roman" w:eastAsia="宋体" w:cs="Times New Roman"/>
          <w:b w:val="0"/>
          <w:kern w:val="2"/>
          <w:sz w:val="20"/>
          <w:szCs w:val="20"/>
          <w:lang w:val="en-US" w:eastAsia="zh-CN" w:bidi="ar-SA"/>
        </w:rPr>
        <w:t>R4-2411738</w:t>
      </w:r>
      <w:r>
        <w:rPr>
          <w:rFonts w:hint="eastAsia" w:cs="Times New Roman"/>
          <w:b w:val="0"/>
          <w:kern w:val="2"/>
          <w:sz w:val="20"/>
          <w:szCs w:val="20"/>
          <w:lang w:val="en-US" w:eastAsia="zh-CN" w:bidi="ar-SA"/>
        </w:rPr>
        <w:t xml:space="preserve">, </w:t>
      </w:r>
      <w:r>
        <w:rPr>
          <w:rFonts w:hint="eastAsia" w:ascii="Times New Roman" w:hAnsi="Times New Roman" w:eastAsia="宋体" w:cs="Times New Roman"/>
          <w:b w:val="0"/>
          <w:kern w:val="2"/>
          <w:sz w:val="20"/>
          <w:szCs w:val="20"/>
          <w:lang w:val="en-US" w:eastAsia="zh-CN" w:bidi="ar-SA"/>
        </w:rPr>
        <w:t>Discussion on MSD requirements with intra-band contiguous UL CA</w:t>
      </w:r>
      <w:r>
        <w:rPr>
          <w:rFonts w:hint="eastAsia" w:cs="Times New Roman"/>
          <w:b w:val="0"/>
          <w:kern w:val="2"/>
          <w:sz w:val="20"/>
          <w:szCs w:val="20"/>
          <w:lang w:val="en-US" w:eastAsia="zh-CN" w:bidi="ar-SA"/>
        </w:rPr>
        <w:t xml:space="preserve">, </w:t>
      </w:r>
      <w:r>
        <w:rPr>
          <w:rFonts w:hint="eastAsia" w:ascii="Times New Roman" w:hAnsi="Times New Roman" w:eastAsia="宋体" w:cs="Times New Roman"/>
          <w:b w:val="0"/>
          <w:kern w:val="2"/>
          <w:sz w:val="20"/>
          <w:szCs w:val="20"/>
          <w:lang w:val="en-US" w:eastAsia="zh-CN" w:bidi="ar-SA"/>
        </w:rPr>
        <w:t>CMCC</w:t>
      </w:r>
    </w:p>
    <w:p>
      <w:pPr>
        <w:keepNext/>
        <w:keepLines/>
        <w:pageBreakBefore w:val="0"/>
        <w:widowControl w:val="0"/>
        <w:numPr>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ind w:leftChars="0"/>
        <w:jc w:val="left"/>
        <w:textAlignment w:val="auto"/>
        <w:rPr>
          <w:rFonts w:hint="eastAsia" w:ascii="Times New Roman" w:hAnsi="Times New Roman" w:eastAsia="宋体" w:cs="Times New Roman"/>
          <w:b w:val="0"/>
          <w:kern w:val="2"/>
          <w:sz w:val="20"/>
          <w:szCs w:val="20"/>
          <w:lang w:val="en-US" w:eastAsia="zh-CN" w:bidi="ar-SA"/>
        </w:rPr>
      </w:pPr>
      <w:r>
        <w:rPr>
          <w:rFonts w:hint="eastAsia" w:cs="Times New Roman"/>
          <w:b w:val="0"/>
          <w:kern w:val="2"/>
          <w:sz w:val="20"/>
          <w:szCs w:val="20"/>
          <w:lang w:val="en-US" w:eastAsia="zh-CN" w:bidi="ar-SA"/>
        </w:rPr>
        <w:t>[4] R</w:t>
      </w:r>
      <w:r>
        <w:rPr>
          <w:rFonts w:hint="eastAsia" w:ascii="Times New Roman" w:hAnsi="Times New Roman" w:eastAsia="宋体" w:cs="Times New Roman"/>
          <w:b w:val="0"/>
          <w:kern w:val="2"/>
          <w:sz w:val="20"/>
          <w:szCs w:val="20"/>
          <w:lang w:val="en-US" w:eastAsia="zh-CN" w:bidi="ar-SA"/>
        </w:rPr>
        <w:t>4-2411887</w:t>
      </w:r>
      <w:r>
        <w:rPr>
          <w:rFonts w:hint="eastAsia" w:cs="Times New Roman"/>
          <w:b w:val="0"/>
          <w:kern w:val="2"/>
          <w:sz w:val="20"/>
          <w:szCs w:val="20"/>
          <w:lang w:val="en-US" w:eastAsia="zh-CN" w:bidi="ar-SA"/>
        </w:rPr>
        <w:t xml:space="preserve">, </w:t>
      </w:r>
      <w:r>
        <w:rPr>
          <w:rFonts w:hint="eastAsia" w:ascii="Times New Roman" w:hAnsi="Times New Roman" w:eastAsia="宋体" w:cs="Times New Roman"/>
          <w:b w:val="0"/>
          <w:kern w:val="2"/>
          <w:sz w:val="20"/>
          <w:szCs w:val="20"/>
          <w:lang w:val="en-US" w:eastAsia="zh-CN" w:bidi="ar-SA"/>
        </w:rPr>
        <w:t>On MSD requirements with intra-band contiguous UL CA</w:t>
      </w:r>
      <w:r>
        <w:rPr>
          <w:rFonts w:hint="eastAsia" w:cs="Times New Roman"/>
          <w:b w:val="0"/>
          <w:kern w:val="2"/>
          <w:sz w:val="20"/>
          <w:szCs w:val="20"/>
          <w:lang w:val="en-US" w:eastAsia="zh-CN" w:bidi="ar-SA"/>
        </w:rPr>
        <w:t>,</w:t>
      </w:r>
      <w:r>
        <w:rPr>
          <w:rFonts w:hint="eastAsia" w:ascii="Times New Roman" w:hAnsi="Times New Roman" w:eastAsia="宋体" w:cs="Times New Roman"/>
          <w:b w:val="0"/>
          <w:kern w:val="2"/>
          <w:sz w:val="20"/>
          <w:szCs w:val="20"/>
          <w:lang w:val="en-US" w:eastAsia="zh-CN" w:bidi="ar-SA"/>
        </w:rPr>
        <w:t>ZTE Corporation, Sanechips</w:t>
      </w:r>
    </w:p>
    <w:p>
      <w:pPr>
        <w:keepNext/>
        <w:keepLines/>
        <w:pageBreakBefore w:val="0"/>
        <w:widowControl w:val="0"/>
        <w:numPr>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ind w:leftChars="0"/>
        <w:jc w:val="left"/>
        <w:textAlignment w:val="auto"/>
        <w:rPr>
          <w:rFonts w:hint="eastAsia" w:ascii="Times New Roman" w:hAnsi="Times New Roman" w:eastAsia="宋体" w:cs="Times New Roman"/>
          <w:b w:val="0"/>
          <w:kern w:val="2"/>
          <w:sz w:val="20"/>
          <w:szCs w:val="20"/>
          <w:lang w:val="en-US" w:eastAsia="zh-CN" w:bidi="ar-SA"/>
        </w:rPr>
      </w:pPr>
      <w:r>
        <w:rPr>
          <w:rFonts w:hint="eastAsia" w:cs="Times New Roman"/>
          <w:b w:val="0"/>
          <w:kern w:val="2"/>
          <w:sz w:val="20"/>
          <w:szCs w:val="20"/>
          <w:lang w:val="en-US" w:eastAsia="zh-CN" w:bidi="ar-SA"/>
        </w:rPr>
        <w:t xml:space="preserve">[5] </w:t>
      </w:r>
      <w:r>
        <w:rPr>
          <w:rFonts w:hint="eastAsia" w:ascii="Times New Roman" w:hAnsi="Times New Roman" w:eastAsia="宋体" w:cs="Times New Roman"/>
          <w:b w:val="0"/>
          <w:kern w:val="2"/>
          <w:sz w:val="20"/>
          <w:szCs w:val="20"/>
          <w:lang w:val="en-US" w:eastAsia="zh-CN" w:bidi="ar-SA"/>
        </w:rPr>
        <w:t>R4-2412934</w:t>
      </w:r>
      <w:r>
        <w:rPr>
          <w:rFonts w:hint="eastAsia" w:cs="Times New Roman"/>
          <w:b w:val="0"/>
          <w:kern w:val="2"/>
          <w:sz w:val="20"/>
          <w:szCs w:val="20"/>
          <w:lang w:val="en-US" w:eastAsia="zh-CN" w:bidi="ar-SA"/>
        </w:rPr>
        <w:t xml:space="preserve">, </w:t>
      </w:r>
      <w:r>
        <w:rPr>
          <w:rFonts w:hint="eastAsia" w:ascii="Times New Roman" w:hAnsi="Times New Roman" w:eastAsia="宋体" w:cs="Times New Roman"/>
          <w:b w:val="0"/>
          <w:kern w:val="2"/>
          <w:sz w:val="20"/>
          <w:szCs w:val="20"/>
          <w:lang w:val="en-US" w:eastAsia="zh-CN" w:bidi="ar-SA"/>
        </w:rPr>
        <w:t>Discussion on MSD for CA_n40A-n41C with intra-band UL CA_n41C</w:t>
      </w:r>
      <w:r>
        <w:rPr>
          <w:rFonts w:hint="eastAsia" w:cs="Times New Roman"/>
          <w:b w:val="0"/>
          <w:kern w:val="2"/>
          <w:sz w:val="20"/>
          <w:szCs w:val="20"/>
          <w:lang w:val="en-US" w:eastAsia="zh-CN" w:bidi="ar-SA"/>
        </w:rPr>
        <w:t xml:space="preserve">, </w:t>
      </w:r>
      <w:r>
        <w:rPr>
          <w:rFonts w:hint="eastAsia" w:ascii="Times New Roman" w:hAnsi="Times New Roman" w:eastAsia="宋体" w:cs="Times New Roman"/>
          <w:b w:val="0"/>
          <w:kern w:val="2"/>
          <w:sz w:val="20"/>
          <w:szCs w:val="20"/>
          <w:lang w:val="en-US" w:eastAsia="zh-CN" w:bidi="ar-SA"/>
        </w:rPr>
        <w:t>Huawei, HiSilicon</w:t>
      </w:r>
    </w:p>
    <w:p>
      <w:pPr>
        <w:keepNext/>
        <w:keepLines/>
        <w:pageBreakBefore w:val="0"/>
        <w:widowControl w:val="0"/>
        <w:numPr>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ind w:leftChars="0"/>
        <w:jc w:val="left"/>
        <w:textAlignment w:val="auto"/>
        <w:rPr>
          <w:rFonts w:hint="eastAsia" w:ascii="Times New Roman" w:hAnsi="Times New Roman" w:eastAsia="宋体" w:cs="Times New Roman"/>
          <w:b w:val="0"/>
          <w:kern w:val="2"/>
          <w:sz w:val="20"/>
          <w:szCs w:val="20"/>
          <w:lang w:val="en-US" w:eastAsia="zh-CN" w:bidi="ar-SA"/>
        </w:rPr>
      </w:pPr>
      <w:r>
        <w:rPr>
          <w:rFonts w:hint="eastAsia" w:cs="Times New Roman"/>
          <w:b w:val="0"/>
          <w:kern w:val="2"/>
          <w:sz w:val="20"/>
          <w:szCs w:val="20"/>
          <w:lang w:val="en-US" w:eastAsia="zh-CN" w:bidi="ar-SA"/>
        </w:rPr>
        <w:t xml:space="preserve">[6] </w:t>
      </w:r>
      <w:r>
        <w:rPr>
          <w:rFonts w:hint="eastAsia" w:ascii="Times New Roman" w:hAnsi="Times New Roman" w:eastAsia="宋体" w:cs="Times New Roman"/>
          <w:b w:val="0"/>
          <w:kern w:val="2"/>
          <w:sz w:val="20"/>
          <w:szCs w:val="20"/>
          <w:lang w:val="en-US" w:eastAsia="zh-CN" w:bidi="ar-SA"/>
        </w:rPr>
        <w:t>R4-2412935</w:t>
      </w:r>
      <w:r>
        <w:rPr>
          <w:rFonts w:hint="eastAsia" w:cs="Times New Roman"/>
          <w:b w:val="0"/>
          <w:kern w:val="2"/>
          <w:sz w:val="20"/>
          <w:szCs w:val="20"/>
          <w:lang w:val="en-US" w:eastAsia="zh-CN" w:bidi="ar-SA"/>
        </w:rPr>
        <w:t xml:space="preserve">, </w:t>
      </w:r>
      <w:r>
        <w:rPr>
          <w:rFonts w:hint="eastAsia" w:ascii="Times New Roman" w:hAnsi="Times New Roman" w:eastAsia="宋体" w:cs="Times New Roman"/>
          <w:b w:val="0"/>
          <w:kern w:val="2"/>
          <w:sz w:val="20"/>
          <w:szCs w:val="20"/>
          <w:lang w:val="en-US" w:eastAsia="zh-CN" w:bidi="ar-SA"/>
        </w:rPr>
        <w:t>Discussion on MSD for CA_n41C-n79A with intra-band UL CA_n41C</w:t>
      </w:r>
      <w:r>
        <w:rPr>
          <w:rFonts w:hint="eastAsia" w:cs="Times New Roman"/>
          <w:b w:val="0"/>
          <w:kern w:val="2"/>
          <w:sz w:val="20"/>
          <w:szCs w:val="20"/>
          <w:lang w:val="en-US" w:eastAsia="zh-CN" w:bidi="ar-SA"/>
        </w:rPr>
        <w:t xml:space="preserve">, </w:t>
      </w:r>
      <w:r>
        <w:rPr>
          <w:rFonts w:hint="eastAsia" w:ascii="Times New Roman" w:hAnsi="Times New Roman" w:eastAsia="宋体" w:cs="Times New Roman"/>
          <w:b w:val="0"/>
          <w:kern w:val="2"/>
          <w:sz w:val="20"/>
          <w:szCs w:val="20"/>
          <w:lang w:val="en-US" w:eastAsia="zh-CN" w:bidi="ar-SA"/>
        </w:rPr>
        <w:t>Huawei, HiSilicon</w:t>
      </w:r>
    </w:p>
    <w:p>
      <w:pPr>
        <w:keepNext/>
        <w:keepLines/>
        <w:pageBreakBefore w:val="0"/>
        <w:widowControl w:val="0"/>
        <w:numPr>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ind w:leftChars="0"/>
        <w:jc w:val="left"/>
        <w:textAlignment w:val="auto"/>
        <w:rPr>
          <w:rFonts w:hint="eastAsia" w:ascii="Times New Roman" w:hAnsi="Times New Roman" w:eastAsia="宋体" w:cs="Times New Roman"/>
          <w:b w:val="0"/>
          <w:kern w:val="2"/>
          <w:sz w:val="20"/>
          <w:szCs w:val="20"/>
          <w:lang w:val="en-US" w:eastAsia="zh-CN" w:bidi="ar-SA"/>
        </w:rPr>
      </w:pPr>
      <w:r>
        <w:rPr>
          <w:rFonts w:hint="eastAsia" w:cs="Times New Roman"/>
          <w:b w:val="0"/>
          <w:kern w:val="2"/>
          <w:sz w:val="20"/>
          <w:szCs w:val="20"/>
          <w:lang w:val="en-US" w:eastAsia="zh-CN" w:bidi="ar-SA"/>
        </w:rPr>
        <w:t>[7] R</w:t>
      </w:r>
      <w:r>
        <w:rPr>
          <w:rFonts w:hint="eastAsia" w:ascii="Times New Roman" w:hAnsi="Times New Roman" w:eastAsia="宋体" w:cs="Times New Roman"/>
          <w:b w:val="0"/>
          <w:kern w:val="2"/>
          <w:sz w:val="20"/>
          <w:szCs w:val="20"/>
          <w:lang w:val="en-US" w:eastAsia="zh-CN" w:bidi="ar-SA"/>
        </w:rPr>
        <w:t>4-2413315</w:t>
      </w:r>
      <w:r>
        <w:rPr>
          <w:rFonts w:hint="eastAsia" w:cs="Times New Roman"/>
          <w:b w:val="0"/>
          <w:kern w:val="2"/>
          <w:sz w:val="20"/>
          <w:szCs w:val="20"/>
          <w:lang w:val="en-US" w:eastAsia="zh-CN" w:bidi="ar-SA"/>
        </w:rPr>
        <w:t xml:space="preserve">, </w:t>
      </w:r>
      <w:r>
        <w:rPr>
          <w:rFonts w:hint="eastAsia" w:ascii="Times New Roman" w:hAnsi="Times New Roman" w:eastAsia="宋体" w:cs="Times New Roman"/>
          <w:b w:val="0"/>
          <w:kern w:val="2"/>
          <w:sz w:val="20"/>
          <w:szCs w:val="20"/>
          <w:lang w:val="en-US" w:eastAsia="zh-CN" w:bidi="ar-SA"/>
        </w:rPr>
        <w:t>On intra-band ULCA interference versus single ULCC</w:t>
      </w:r>
      <w:r>
        <w:rPr>
          <w:rFonts w:hint="eastAsia" w:cs="Times New Roman"/>
          <w:b w:val="0"/>
          <w:kern w:val="2"/>
          <w:sz w:val="20"/>
          <w:szCs w:val="20"/>
          <w:lang w:val="en-US" w:eastAsia="zh-CN" w:bidi="ar-SA"/>
        </w:rPr>
        <w:t xml:space="preserve">, </w:t>
      </w:r>
      <w:r>
        <w:rPr>
          <w:rFonts w:hint="eastAsia" w:ascii="Times New Roman" w:hAnsi="Times New Roman" w:eastAsia="宋体" w:cs="Times New Roman"/>
          <w:b w:val="0"/>
          <w:kern w:val="2"/>
          <w:sz w:val="20"/>
          <w:szCs w:val="20"/>
          <w:lang w:val="en-US" w:eastAsia="zh-CN" w:bidi="ar-SA"/>
        </w:rPr>
        <w:t>Skyworks Solutions Inc.</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ind w:firstLineChars="0"/>
        <w:jc w:val="left"/>
        <w:textAlignment w:val="auto"/>
        <w:rPr>
          <w:rFonts w:hint="default" w:ascii="Times New Roman" w:hAnsi="Times New Roman" w:eastAsia="宋体" w:cs="Times New Roman"/>
          <w:b w:val="0"/>
          <w:kern w:val="2"/>
          <w:sz w:val="20"/>
          <w:szCs w:val="20"/>
          <w:lang w:val="en-US" w:eastAsia="zh-CN" w:bidi="ar-SA"/>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Arial">
    <w:panose1 w:val="020B0604020202020204"/>
    <w:charset w:val="00"/>
    <w:family w:val="auto"/>
    <w:pitch w:val="default"/>
    <w:sig w:usb0="E0002EFF" w:usb1="C000785B" w:usb2="00000009" w:usb3="00000000" w:csb0="400001FF" w:csb1="FFFF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8145F"/>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B0984"/>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27700"/>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569BB"/>
    <w:rsid w:val="01101B26"/>
    <w:rsid w:val="011404C5"/>
    <w:rsid w:val="0117001C"/>
    <w:rsid w:val="011A0B49"/>
    <w:rsid w:val="0129526D"/>
    <w:rsid w:val="013F4C05"/>
    <w:rsid w:val="014A0623"/>
    <w:rsid w:val="014C6B63"/>
    <w:rsid w:val="014F5189"/>
    <w:rsid w:val="01536583"/>
    <w:rsid w:val="0157499F"/>
    <w:rsid w:val="01764F01"/>
    <w:rsid w:val="01795BD9"/>
    <w:rsid w:val="018107C9"/>
    <w:rsid w:val="01815F85"/>
    <w:rsid w:val="01837FEF"/>
    <w:rsid w:val="01854FE9"/>
    <w:rsid w:val="018E207B"/>
    <w:rsid w:val="0190283E"/>
    <w:rsid w:val="019B32C6"/>
    <w:rsid w:val="019D155B"/>
    <w:rsid w:val="01A428BB"/>
    <w:rsid w:val="01AE307F"/>
    <w:rsid w:val="01B35169"/>
    <w:rsid w:val="01BB2C67"/>
    <w:rsid w:val="01BF0B5D"/>
    <w:rsid w:val="01C00B7B"/>
    <w:rsid w:val="01D11357"/>
    <w:rsid w:val="01D46B8D"/>
    <w:rsid w:val="01D866D8"/>
    <w:rsid w:val="01EE2663"/>
    <w:rsid w:val="01F31C8D"/>
    <w:rsid w:val="01F90434"/>
    <w:rsid w:val="01FB366B"/>
    <w:rsid w:val="01FD3930"/>
    <w:rsid w:val="021B7C87"/>
    <w:rsid w:val="0221260B"/>
    <w:rsid w:val="022330E8"/>
    <w:rsid w:val="022D3E9F"/>
    <w:rsid w:val="022D4A6E"/>
    <w:rsid w:val="022F6C93"/>
    <w:rsid w:val="023B0A39"/>
    <w:rsid w:val="023C78A7"/>
    <w:rsid w:val="02444B7E"/>
    <w:rsid w:val="024A5964"/>
    <w:rsid w:val="024B023C"/>
    <w:rsid w:val="024D6B6A"/>
    <w:rsid w:val="024F6C8C"/>
    <w:rsid w:val="02504E6F"/>
    <w:rsid w:val="02510B5E"/>
    <w:rsid w:val="02566C17"/>
    <w:rsid w:val="025A122E"/>
    <w:rsid w:val="02655431"/>
    <w:rsid w:val="027219B2"/>
    <w:rsid w:val="027275A1"/>
    <w:rsid w:val="027371D9"/>
    <w:rsid w:val="0276366F"/>
    <w:rsid w:val="027C45A5"/>
    <w:rsid w:val="027F646E"/>
    <w:rsid w:val="02803A56"/>
    <w:rsid w:val="028C1FD4"/>
    <w:rsid w:val="028F6D4C"/>
    <w:rsid w:val="02933CBB"/>
    <w:rsid w:val="02951DBD"/>
    <w:rsid w:val="029A69A7"/>
    <w:rsid w:val="029B04E7"/>
    <w:rsid w:val="029D7AB8"/>
    <w:rsid w:val="02A10998"/>
    <w:rsid w:val="02A705C7"/>
    <w:rsid w:val="02AB0FBC"/>
    <w:rsid w:val="02AE6812"/>
    <w:rsid w:val="02B15459"/>
    <w:rsid w:val="02BD787A"/>
    <w:rsid w:val="02D16C80"/>
    <w:rsid w:val="02DC3F9C"/>
    <w:rsid w:val="02E14F55"/>
    <w:rsid w:val="02E43645"/>
    <w:rsid w:val="02EB30F4"/>
    <w:rsid w:val="02F900F0"/>
    <w:rsid w:val="03047DDD"/>
    <w:rsid w:val="03073BDC"/>
    <w:rsid w:val="030A6258"/>
    <w:rsid w:val="030B0647"/>
    <w:rsid w:val="030B2860"/>
    <w:rsid w:val="030C40C1"/>
    <w:rsid w:val="030D2F0B"/>
    <w:rsid w:val="030F3B4D"/>
    <w:rsid w:val="03350E4E"/>
    <w:rsid w:val="03382FC4"/>
    <w:rsid w:val="033C68CE"/>
    <w:rsid w:val="03416974"/>
    <w:rsid w:val="03445E8F"/>
    <w:rsid w:val="03496C64"/>
    <w:rsid w:val="035154D3"/>
    <w:rsid w:val="03522DE6"/>
    <w:rsid w:val="03527C38"/>
    <w:rsid w:val="03557185"/>
    <w:rsid w:val="0356746F"/>
    <w:rsid w:val="03620451"/>
    <w:rsid w:val="03642E26"/>
    <w:rsid w:val="036E37C2"/>
    <w:rsid w:val="03746F87"/>
    <w:rsid w:val="03780D14"/>
    <w:rsid w:val="037828CA"/>
    <w:rsid w:val="03802AC0"/>
    <w:rsid w:val="038143CE"/>
    <w:rsid w:val="03814F5B"/>
    <w:rsid w:val="038B3141"/>
    <w:rsid w:val="03970C22"/>
    <w:rsid w:val="03A52784"/>
    <w:rsid w:val="03A72D45"/>
    <w:rsid w:val="03A77DFA"/>
    <w:rsid w:val="03AA5C06"/>
    <w:rsid w:val="03AC1F4B"/>
    <w:rsid w:val="03B339B1"/>
    <w:rsid w:val="03C05350"/>
    <w:rsid w:val="03C1287B"/>
    <w:rsid w:val="03C12A05"/>
    <w:rsid w:val="03C36B0E"/>
    <w:rsid w:val="03C528EA"/>
    <w:rsid w:val="03C53E20"/>
    <w:rsid w:val="03C5702C"/>
    <w:rsid w:val="03CF67FA"/>
    <w:rsid w:val="03D7133F"/>
    <w:rsid w:val="03D82F4A"/>
    <w:rsid w:val="03DC5000"/>
    <w:rsid w:val="03DF1641"/>
    <w:rsid w:val="03E358F3"/>
    <w:rsid w:val="03E641C4"/>
    <w:rsid w:val="03E84DE8"/>
    <w:rsid w:val="04006F66"/>
    <w:rsid w:val="04030035"/>
    <w:rsid w:val="040F0942"/>
    <w:rsid w:val="042155D4"/>
    <w:rsid w:val="04251A4C"/>
    <w:rsid w:val="04254BF5"/>
    <w:rsid w:val="042D2E97"/>
    <w:rsid w:val="04305EA0"/>
    <w:rsid w:val="04310833"/>
    <w:rsid w:val="04343921"/>
    <w:rsid w:val="043865BF"/>
    <w:rsid w:val="043A14AD"/>
    <w:rsid w:val="04477A12"/>
    <w:rsid w:val="044C78D8"/>
    <w:rsid w:val="04537B11"/>
    <w:rsid w:val="045875B5"/>
    <w:rsid w:val="04684A28"/>
    <w:rsid w:val="046C0EAE"/>
    <w:rsid w:val="04782230"/>
    <w:rsid w:val="0479507E"/>
    <w:rsid w:val="047D0134"/>
    <w:rsid w:val="04894975"/>
    <w:rsid w:val="04964902"/>
    <w:rsid w:val="049973F4"/>
    <w:rsid w:val="04A65723"/>
    <w:rsid w:val="04AB3262"/>
    <w:rsid w:val="04AC0BD2"/>
    <w:rsid w:val="04B14B03"/>
    <w:rsid w:val="04B15E44"/>
    <w:rsid w:val="04C509AD"/>
    <w:rsid w:val="04CC51EB"/>
    <w:rsid w:val="04D76DDC"/>
    <w:rsid w:val="04DA1A87"/>
    <w:rsid w:val="04DD0A04"/>
    <w:rsid w:val="04DE2DA3"/>
    <w:rsid w:val="04EB6DF8"/>
    <w:rsid w:val="04FE0DF4"/>
    <w:rsid w:val="04FF1C94"/>
    <w:rsid w:val="04FF7D5A"/>
    <w:rsid w:val="0502349F"/>
    <w:rsid w:val="05061BBF"/>
    <w:rsid w:val="050E7487"/>
    <w:rsid w:val="05161D2D"/>
    <w:rsid w:val="0522500E"/>
    <w:rsid w:val="052E568F"/>
    <w:rsid w:val="0537511C"/>
    <w:rsid w:val="053973F0"/>
    <w:rsid w:val="053E15A9"/>
    <w:rsid w:val="053E65E7"/>
    <w:rsid w:val="05437A57"/>
    <w:rsid w:val="054E2A6F"/>
    <w:rsid w:val="055032B7"/>
    <w:rsid w:val="0555228E"/>
    <w:rsid w:val="05692402"/>
    <w:rsid w:val="056D1155"/>
    <w:rsid w:val="056F7FAB"/>
    <w:rsid w:val="057030A6"/>
    <w:rsid w:val="05741F0E"/>
    <w:rsid w:val="057D1D66"/>
    <w:rsid w:val="0584418A"/>
    <w:rsid w:val="058E7B70"/>
    <w:rsid w:val="058F1E91"/>
    <w:rsid w:val="059D265F"/>
    <w:rsid w:val="05B74214"/>
    <w:rsid w:val="05B92EC1"/>
    <w:rsid w:val="05C251E4"/>
    <w:rsid w:val="05C26893"/>
    <w:rsid w:val="05C868B7"/>
    <w:rsid w:val="05E078B3"/>
    <w:rsid w:val="05EE6827"/>
    <w:rsid w:val="05F11F71"/>
    <w:rsid w:val="05FE4B58"/>
    <w:rsid w:val="0601277E"/>
    <w:rsid w:val="060C5AED"/>
    <w:rsid w:val="060D31B6"/>
    <w:rsid w:val="06103146"/>
    <w:rsid w:val="06172561"/>
    <w:rsid w:val="061E54DA"/>
    <w:rsid w:val="061E5E22"/>
    <w:rsid w:val="061F255D"/>
    <w:rsid w:val="062C26E7"/>
    <w:rsid w:val="06352B2D"/>
    <w:rsid w:val="063F5DA3"/>
    <w:rsid w:val="06460B91"/>
    <w:rsid w:val="06472FEB"/>
    <w:rsid w:val="0654187C"/>
    <w:rsid w:val="065475DE"/>
    <w:rsid w:val="06556C03"/>
    <w:rsid w:val="06575D97"/>
    <w:rsid w:val="065A554B"/>
    <w:rsid w:val="06616D07"/>
    <w:rsid w:val="06637BD9"/>
    <w:rsid w:val="066935ED"/>
    <w:rsid w:val="066F06B5"/>
    <w:rsid w:val="06782F84"/>
    <w:rsid w:val="067C28D6"/>
    <w:rsid w:val="067E40B7"/>
    <w:rsid w:val="0681696E"/>
    <w:rsid w:val="06851866"/>
    <w:rsid w:val="068E06BC"/>
    <w:rsid w:val="06907E56"/>
    <w:rsid w:val="069201CB"/>
    <w:rsid w:val="06956E2E"/>
    <w:rsid w:val="06971860"/>
    <w:rsid w:val="069F445A"/>
    <w:rsid w:val="06A87C93"/>
    <w:rsid w:val="06B741D9"/>
    <w:rsid w:val="06BA6E65"/>
    <w:rsid w:val="06C457B6"/>
    <w:rsid w:val="06CD4A70"/>
    <w:rsid w:val="06DF4C13"/>
    <w:rsid w:val="06E34232"/>
    <w:rsid w:val="06E7678C"/>
    <w:rsid w:val="06F13CA3"/>
    <w:rsid w:val="06F14C51"/>
    <w:rsid w:val="06F2422A"/>
    <w:rsid w:val="06F42A88"/>
    <w:rsid w:val="06F6568E"/>
    <w:rsid w:val="06F801C0"/>
    <w:rsid w:val="06F82878"/>
    <w:rsid w:val="06FD715B"/>
    <w:rsid w:val="070E5EE2"/>
    <w:rsid w:val="07105178"/>
    <w:rsid w:val="0712124C"/>
    <w:rsid w:val="071426A5"/>
    <w:rsid w:val="071614A3"/>
    <w:rsid w:val="07171DAE"/>
    <w:rsid w:val="071A1AB9"/>
    <w:rsid w:val="071C13A8"/>
    <w:rsid w:val="07330445"/>
    <w:rsid w:val="073D143C"/>
    <w:rsid w:val="073E1A3D"/>
    <w:rsid w:val="0747308D"/>
    <w:rsid w:val="074855FD"/>
    <w:rsid w:val="076013D1"/>
    <w:rsid w:val="07627CA0"/>
    <w:rsid w:val="076319C4"/>
    <w:rsid w:val="076925D2"/>
    <w:rsid w:val="076A5035"/>
    <w:rsid w:val="077241E3"/>
    <w:rsid w:val="07731BAD"/>
    <w:rsid w:val="07787303"/>
    <w:rsid w:val="077B06A2"/>
    <w:rsid w:val="078C5933"/>
    <w:rsid w:val="078D336C"/>
    <w:rsid w:val="0792420A"/>
    <w:rsid w:val="07971B3F"/>
    <w:rsid w:val="07983294"/>
    <w:rsid w:val="079F1838"/>
    <w:rsid w:val="07A2030D"/>
    <w:rsid w:val="07A5677E"/>
    <w:rsid w:val="07AE63FF"/>
    <w:rsid w:val="07B51934"/>
    <w:rsid w:val="07B9290D"/>
    <w:rsid w:val="07BB4A7F"/>
    <w:rsid w:val="07BE52B9"/>
    <w:rsid w:val="07BF7CC6"/>
    <w:rsid w:val="07C07B1D"/>
    <w:rsid w:val="07C55A1A"/>
    <w:rsid w:val="07D26643"/>
    <w:rsid w:val="07D57946"/>
    <w:rsid w:val="07D74674"/>
    <w:rsid w:val="07E2277C"/>
    <w:rsid w:val="07E6675C"/>
    <w:rsid w:val="07ED524D"/>
    <w:rsid w:val="07FC1127"/>
    <w:rsid w:val="07FC35AE"/>
    <w:rsid w:val="080124E3"/>
    <w:rsid w:val="080B341D"/>
    <w:rsid w:val="080C7FA0"/>
    <w:rsid w:val="08120068"/>
    <w:rsid w:val="08162951"/>
    <w:rsid w:val="08193C24"/>
    <w:rsid w:val="082E1CC1"/>
    <w:rsid w:val="08316D5A"/>
    <w:rsid w:val="08341060"/>
    <w:rsid w:val="083D71D5"/>
    <w:rsid w:val="085514F1"/>
    <w:rsid w:val="085A5F4A"/>
    <w:rsid w:val="08675174"/>
    <w:rsid w:val="086A1F0D"/>
    <w:rsid w:val="086D6F02"/>
    <w:rsid w:val="086E5E77"/>
    <w:rsid w:val="08732D34"/>
    <w:rsid w:val="08787FF0"/>
    <w:rsid w:val="087A67ED"/>
    <w:rsid w:val="08824DF0"/>
    <w:rsid w:val="0889002B"/>
    <w:rsid w:val="088E0696"/>
    <w:rsid w:val="08940C18"/>
    <w:rsid w:val="089B79D9"/>
    <w:rsid w:val="08A44DA6"/>
    <w:rsid w:val="08AA245A"/>
    <w:rsid w:val="08BA6E24"/>
    <w:rsid w:val="08BB0829"/>
    <w:rsid w:val="08C024D5"/>
    <w:rsid w:val="08C562FD"/>
    <w:rsid w:val="08CA27B1"/>
    <w:rsid w:val="08D25907"/>
    <w:rsid w:val="08E916DF"/>
    <w:rsid w:val="08F3022B"/>
    <w:rsid w:val="08F473EA"/>
    <w:rsid w:val="08F815F3"/>
    <w:rsid w:val="08F96E54"/>
    <w:rsid w:val="08FC0AA5"/>
    <w:rsid w:val="090868CF"/>
    <w:rsid w:val="09110C6F"/>
    <w:rsid w:val="09167EC9"/>
    <w:rsid w:val="091C4700"/>
    <w:rsid w:val="091C7001"/>
    <w:rsid w:val="09261B0E"/>
    <w:rsid w:val="09294EE0"/>
    <w:rsid w:val="092C729B"/>
    <w:rsid w:val="09306537"/>
    <w:rsid w:val="09355076"/>
    <w:rsid w:val="093835AD"/>
    <w:rsid w:val="09392119"/>
    <w:rsid w:val="093E6BA4"/>
    <w:rsid w:val="09445E95"/>
    <w:rsid w:val="09543B3B"/>
    <w:rsid w:val="09600FBD"/>
    <w:rsid w:val="0972595C"/>
    <w:rsid w:val="097734F1"/>
    <w:rsid w:val="097960C6"/>
    <w:rsid w:val="097D5DA0"/>
    <w:rsid w:val="098143BC"/>
    <w:rsid w:val="098500F1"/>
    <w:rsid w:val="09974072"/>
    <w:rsid w:val="099E4326"/>
    <w:rsid w:val="09B7610E"/>
    <w:rsid w:val="09BD407A"/>
    <w:rsid w:val="09C217D5"/>
    <w:rsid w:val="09CC28B3"/>
    <w:rsid w:val="09CD7D07"/>
    <w:rsid w:val="09DA0E26"/>
    <w:rsid w:val="09E55691"/>
    <w:rsid w:val="09EA29E1"/>
    <w:rsid w:val="09EB2B51"/>
    <w:rsid w:val="09EF75D1"/>
    <w:rsid w:val="09F43460"/>
    <w:rsid w:val="09F67CD5"/>
    <w:rsid w:val="0A0138B1"/>
    <w:rsid w:val="0A054821"/>
    <w:rsid w:val="0A0835C8"/>
    <w:rsid w:val="0A09091A"/>
    <w:rsid w:val="0A145721"/>
    <w:rsid w:val="0A2C297E"/>
    <w:rsid w:val="0A307C92"/>
    <w:rsid w:val="0A355EAA"/>
    <w:rsid w:val="0A3708FF"/>
    <w:rsid w:val="0A3B01F9"/>
    <w:rsid w:val="0A3F0488"/>
    <w:rsid w:val="0A402A36"/>
    <w:rsid w:val="0A4236A3"/>
    <w:rsid w:val="0A49096C"/>
    <w:rsid w:val="0A4E7EF5"/>
    <w:rsid w:val="0A646846"/>
    <w:rsid w:val="0A76304F"/>
    <w:rsid w:val="0A8251CA"/>
    <w:rsid w:val="0A8828AB"/>
    <w:rsid w:val="0A895661"/>
    <w:rsid w:val="0A927DC1"/>
    <w:rsid w:val="0A9358E8"/>
    <w:rsid w:val="0A952FEA"/>
    <w:rsid w:val="0A9B4F7F"/>
    <w:rsid w:val="0A9C263A"/>
    <w:rsid w:val="0A9E3D3D"/>
    <w:rsid w:val="0AA077E0"/>
    <w:rsid w:val="0AA84209"/>
    <w:rsid w:val="0ABC4D71"/>
    <w:rsid w:val="0AC01F88"/>
    <w:rsid w:val="0AC0212C"/>
    <w:rsid w:val="0AC81C45"/>
    <w:rsid w:val="0AD542C1"/>
    <w:rsid w:val="0ADD5A20"/>
    <w:rsid w:val="0ADF65DA"/>
    <w:rsid w:val="0AE10FD9"/>
    <w:rsid w:val="0AF13898"/>
    <w:rsid w:val="0AFB3228"/>
    <w:rsid w:val="0AFC6C07"/>
    <w:rsid w:val="0B0250FD"/>
    <w:rsid w:val="0B0F025C"/>
    <w:rsid w:val="0B177944"/>
    <w:rsid w:val="0B1A6333"/>
    <w:rsid w:val="0B2713F4"/>
    <w:rsid w:val="0B2E7CE5"/>
    <w:rsid w:val="0B3C130A"/>
    <w:rsid w:val="0B3D701F"/>
    <w:rsid w:val="0B3E7DD7"/>
    <w:rsid w:val="0B481192"/>
    <w:rsid w:val="0B494066"/>
    <w:rsid w:val="0B4D4BB3"/>
    <w:rsid w:val="0B4F7F8D"/>
    <w:rsid w:val="0B561995"/>
    <w:rsid w:val="0B5C2C2A"/>
    <w:rsid w:val="0B665E0A"/>
    <w:rsid w:val="0B704697"/>
    <w:rsid w:val="0B796FFB"/>
    <w:rsid w:val="0B847B39"/>
    <w:rsid w:val="0B902D5E"/>
    <w:rsid w:val="0B987E20"/>
    <w:rsid w:val="0B9C06D5"/>
    <w:rsid w:val="0B9E71DF"/>
    <w:rsid w:val="0BAC6FB9"/>
    <w:rsid w:val="0BAD5CC5"/>
    <w:rsid w:val="0BAD5EDC"/>
    <w:rsid w:val="0BAF59B9"/>
    <w:rsid w:val="0BB524B8"/>
    <w:rsid w:val="0BB756DF"/>
    <w:rsid w:val="0BC63DB2"/>
    <w:rsid w:val="0BCB1EC4"/>
    <w:rsid w:val="0BCB7D33"/>
    <w:rsid w:val="0BCC4043"/>
    <w:rsid w:val="0BCC4B6A"/>
    <w:rsid w:val="0BD23AC3"/>
    <w:rsid w:val="0BDE3FD8"/>
    <w:rsid w:val="0BE301C1"/>
    <w:rsid w:val="0C064507"/>
    <w:rsid w:val="0C1E494F"/>
    <w:rsid w:val="0C3427D0"/>
    <w:rsid w:val="0C43327D"/>
    <w:rsid w:val="0C4426AF"/>
    <w:rsid w:val="0C4577EC"/>
    <w:rsid w:val="0C4F7881"/>
    <w:rsid w:val="0C5C6396"/>
    <w:rsid w:val="0C63431B"/>
    <w:rsid w:val="0C650A20"/>
    <w:rsid w:val="0C690EFA"/>
    <w:rsid w:val="0C695AE0"/>
    <w:rsid w:val="0C6E11B8"/>
    <w:rsid w:val="0C723CD1"/>
    <w:rsid w:val="0C7C40BF"/>
    <w:rsid w:val="0C8005ED"/>
    <w:rsid w:val="0C814739"/>
    <w:rsid w:val="0C8601BF"/>
    <w:rsid w:val="0C863429"/>
    <w:rsid w:val="0C8B63A3"/>
    <w:rsid w:val="0C8C19F0"/>
    <w:rsid w:val="0C9F6AEC"/>
    <w:rsid w:val="0CA070FC"/>
    <w:rsid w:val="0CB94808"/>
    <w:rsid w:val="0CC11AEF"/>
    <w:rsid w:val="0CC37BC2"/>
    <w:rsid w:val="0CCB7A8E"/>
    <w:rsid w:val="0CD87ABE"/>
    <w:rsid w:val="0CD90733"/>
    <w:rsid w:val="0CE26C42"/>
    <w:rsid w:val="0CE4156E"/>
    <w:rsid w:val="0CE632FF"/>
    <w:rsid w:val="0CE76B48"/>
    <w:rsid w:val="0CEB5DBE"/>
    <w:rsid w:val="0CF6484A"/>
    <w:rsid w:val="0CFB523A"/>
    <w:rsid w:val="0CFC15F0"/>
    <w:rsid w:val="0D0227BA"/>
    <w:rsid w:val="0D111145"/>
    <w:rsid w:val="0D1B1E9C"/>
    <w:rsid w:val="0D1C7510"/>
    <w:rsid w:val="0D246FEC"/>
    <w:rsid w:val="0D3226D5"/>
    <w:rsid w:val="0D4B44A1"/>
    <w:rsid w:val="0D6468BA"/>
    <w:rsid w:val="0D6811B4"/>
    <w:rsid w:val="0D6E2620"/>
    <w:rsid w:val="0D704E21"/>
    <w:rsid w:val="0D743A34"/>
    <w:rsid w:val="0D7A2BC8"/>
    <w:rsid w:val="0D7F48FE"/>
    <w:rsid w:val="0D883C88"/>
    <w:rsid w:val="0D936E72"/>
    <w:rsid w:val="0D966BF7"/>
    <w:rsid w:val="0D9B5860"/>
    <w:rsid w:val="0DAA3F6B"/>
    <w:rsid w:val="0DB84E5F"/>
    <w:rsid w:val="0DB94E10"/>
    <w:rsid w:val="0DCC3AE8"/>
    <w:rsid w:val="0DD87842"/>
    <w:rsid w:val="0DE35C55"/>
    <w:rsid w:val="0DF202E1"/>
    <w:rsid w:val="0DF53CE3"/>
    <w:rsid w:val="0E042FD6"/>
    <w:rsid w:val="0E0961C5"/>
    <w:rsid w:val="0E147898"/>
    <w:rsid w:val="0E183199"/>
    <w:rsid w:val="0E2A7688"/>
    <w:rsid w:val="0E2F216B"/>
    <w:rsid w:val="0E2F5D16"/>
    <w:rsid w:val="0E3352C6"/>
    <w:rsid w:val="0E3A5EE2"/>
    <w:rsid w:val="0E542F3B"/>
    <w:rsid w:val="0E6271C6"/>
    <w:rsid w:val="0E6271DF"/>
    <w:rsid w:val="0E65475F"/>
    <w:rsid w:val="0E655A78"/>
    <w:rsid w:val="0E681731"/>
    <w:rsid w:val="0E6C5EC6"/>
    <w:rsid w:val="0E7071B5"/>
    <w:rsid w:val="0E743408"/>
    <w:rsid w:val="0E81568A"/>
    <w:rsid w:val="0E924723"/>
    <w:rsid w:val="0E942250"/>
    <w:rsid w:val="0E963344"/>
    <w:rsid w:val="0E9E6E00"/>
    <w:rsid w:val="0EA40C1C"/>
    <w:rsid w:val="0EB72E4B"/>
    <w:rsid w:val="0EB91987"/>
    <w:rsid w:val="0ED07B90"/>
    <w:rsid w:val="0EDA2BCA"/>
    <w:rsid w:val="0EEC6F1D"/>
    <w:rsid w:val="0EF00D65"/>
    <w:rsid w:val="0EF33893"/>
    <w:rsid w:val="0EFB6721"/>
    <w:rsid w:val="0EFF5127"/>
    <w:rsid w:val="0F0008B2"/>
    <w:rsid w:val="0F054463"/>
    <w:rsid w:val="0F103291"/>
    <w:rsid w:val="0F1D498B"/>
    <w:rsid w:val="0F337178"/>
    <w:rsid w:val="0F3B15FC"/>
    <w:rsid w:val="0F41022A"/>
    <w:rsid w:val="0F44420A"/>
    <w:rsid w:val="0F4B77A5"/>
    <w:rsid w:val="0F4E15FF"/>
    <w:rsid w:val="0F4F1A2F"/>
    <w:rsid w:val="0F56743B"/>
    <w:rsid w:val="0F5D0D44"/>
    <w:rsid w:val="0F60682C"/>
    <w:rsid w:val="0F6763D9"/>
    <w:rsid w:val="0F6A2766"/>
    <w:rsid w:val="0F715B2B"/>
    <w:rsid w:val="0F764270"/>
    <w:rsid w:val="0F773D64"/>
    <w:rsid w:val="0F774DC7"/>
    <w:rsid w:val="0F7756E1"/>
    <w:rsid w:val="0F790C96"/>
    <w:rsid w:val="0F7B50CD"/>
    <w:rsid w:val="0F7F273F"/>
    <w:rsid w:val="0F8418ED"/>
    <w:rsid w:val="0F957B47"/>
    <w:rsid w:val="0F98796C"/>
    <w:rsid w:val="0F9F6FA4"/>
    <w:rsid w:val="0FA65D5C"/>
    <w:rsid w:val="0FA83295"/>
    <w:rsid w:val="0FAD33DA"/>
    <w:rsid w:val="0FBE2A42"/>
    <w:rsid w:val="0FBF1587"/>
    <w:rsid w:val="0FC17CCE"/>
    <w:rsid w:val="0FC424B9"/>
    <w:rsid w:val="0FD15480"/>
    <w:rsid w:val="0FD70565"/>
    <w:rsid w:val="0FEA050A"/>
    <w:rsid w:val="0FEC680C"/>
    <w:rsid w:val="0FEE2832"/>
    <w:rsid w:val="0FF83B33"/>
    <w:rsid w:val="10007AD6"/>
    <w:rsid w:val="10016174"/>
    <w:rsid w:val="10083F4D"/>
    <w:rsid w:val="100D3E09"/>
    <w:rsid w:val="101B1E8A"/>
    <w:rsid w:val="101C4A03"/>
    <w:rsid w:val="101D0C86"/>
    <w:rsid w:val="10325332"/>
    <w:rsid w:val="10386626"/>
    <w:rsid w:val="103B2931"/>
    <w:rsid w:val="10402896"/>
    <w:rsid w:val="104A023B"/>
    <w:rsid w:val="10505F3B"/>
    <w:rsid w:val="105F56AF"/>
    <w:rsid w:val="106D2686"/>
    <w:rsid w:val="107538B9"/>
    <w:rsid w:val="107641C0"/>
    <w:rsid w:val="10794703"/>
    <w:rsid w:val="107A2416"/>
    <w:rsid w:val="107C3E2C"/>
    <w:rsid w:val="107D41AE"/>
    <w:rsid w:val="10887960"/>
    <w:rsid w:val="108C2479"/>
    <w:rsid w:val="109E4593"/>
    <w:rsid w:val="10A96993"/>
    <w:rsid w:val="10AA1B06"/>
    <w:rsid w:val="10B661A8"/>
    <w:rsid w:val="10C227EB"/>
    <w:rsid w:val="10C715C5"/>
    <w:rsid w:val="10CC72E4"/>
    <w:rsid w:val="10D17307"/>
    <w:rsid w:val="10D335EF"/>
    <w:rsid w:val="10DA6BCD"/>
    <w:rsid w:val="10DB02A8"/>
    <w:rsid w:val="10E3138D"/>
    <w:rsid w:val="10E746EA"/>
    <w:rsid w:val="10E83FE0"/>
    <w:rsid w:val="10EC3168"/>
    <w:rsid w:val="10EC5C55"/>
    <w:rsid w:val="10F24E5D"/>
    <w:rsid w:val="10F52718"/>
    <w:rsid w:val="1104237A"/>
    <w:rsid w:val="1110206C"/>
    <w:rsid w:val="112E2D86"/>
    <w:rsid w:val="11301133"/>
    <w:rsid w:val="113457E2"/>
    <w:rsid w:val="11366DAC"/>
    <w:rsid w:val="11376E36"/>
    <w:rsid w:val="114028DC"/>
    <w:rsid w:val="11460FF2"/>
    <w:rsid w:val="116F1EB0"/>
    <w:rsid w:val="117B1D6A"/>
    <w:rsid w:val="117C2D9D"/>
    <w:rsid w:val="117F159E"/>
    <w:rsid w:val="11821DC9"/>
    <w:rsid w:val="118453C1"/>
    <w:rsid w:val="11921373"/>
    <w:rsid w:val="11945405"/>
    <w:rsid w:val="119D7849"/>
    <w:rsid w:val="11A615EE"/>
    <w:rsid w:val="11A658F4"/>
    <w:rsid w:val="11B90BA4"/>
    <w:rsid w:val="11B91A57"/>
    <w:rsid w:val="11C427F5"/>
    <w:rsid w:val="11C67B8F"/>
    <w:rsid w:val="11CA11D0"/>
    <w:rsid w:val="11CE730E"/>
    <w:rsid w:val="11D658B4"/>
    <w:rsid w:val="11D815C4"/>
    <w:rsid w:val="11D910AD"/>
    <w:rsid w:val="11E55FA1"/>
    <w:rsid w:val="11E57D4F"/>
    <w:rsid w:val="11ED5EAE"/>
    <w:rsid w:val="11EE6703"/>
    <w:rsid w:val="11F62C9D"/>
    <w:rsid w:val="11F67383"/>
    <w:rsid w:val="11F76C8A"/>
    <w:rsid w:val="11F92DAB"/>
    <w:rsid w:val="11FC38D5"/>
    <w:rsid w:val="11FE0013"/>
    <w:rsid w:val="12027812"/>
    <w:rsid w:val="120F4FE0"/>
    <w:rsid w:val="120F5D2F"/>
    <w:rsid w:val="1210682D"/>
    <w:rsid w:val="12121BB4"/>
    <w:rsid w:val="12162A85"/>
    <w:rsid w:val="121A40C0"/>
    <w:rsid w:val="121C6DD1"/>
    <w:rsid w:val="123332A6"/>
    <w:rsid w:val="12384D02"/>
    <w:rsid w:val="123A05DB"/>
    <w:rsid w:val="124240B9"/>
    <w:rsid w:val="124D0988"/>
    <w:rsid w:val="124D0CC1"/>
    <w:rsid w:val="12680E73"/>
    <w:rsid w:val="1268374F"/>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E5106"/>
    <w:rsid w:val="12EE67A1"/>
    <w:rsid w:val="1307341C"/>
    <w:rsid w:val="130C40FE"/>
    <w:rsid w:val="130E3629"/>
    <w:rsid w:val="131B39DD"/>
    <w:rsid w:val="131E2669"/>
    <w:rsid w:val="13216E71"/>
    <w:rsid w:val="13237634"/>
    <w:rsid w:val="13283BA4"/>
    <w:rsid w:val="13332F77"/>
    <w:rsid w:val="13334E1C"/>
    <w:rsid w:val="13346EE4"/>
    <w:rsid w:val="13384952"/>
    <w:rsid w:val="13424DBA"/>
    <w:rsid w:val="134F31A5"/>
    <w:rsid w:val="13505730"/>
    <w:rsid w:val="1355107F"/>
    <w:rsid w:val="135D4D2E"/>
    <w:rsid w:val="135F4CF0"/>
    <w:rsid w:val="1366638D"/>
    <w:rsid w:val="136D76E8"/>
    <w:rsid w:val="137266E0"/>
    <w:rsid w:val="137F164B"/>
    <w:rsid w:val="13853516"/>
    <w:rsid w:val="138B153D"/>
    <w:rsid w:val="13992BE4"/>
    <w:rsid w:val="139D3156"/>
    <w:rsid w:val="13A9004F"/>
    <w:rsid w:val="13A938D2"/>
    <w:rsid w:val="13AA5FA1"/>
    <w:rsid w:val="13AF2BDE"/>
    <w:rsid w:val="13BB0DD4"/>
    <w:rsid w:val="13C20262"/>
    <w:rsid w:val="13D024B3"/>
    <w:rsid w:val="13D115EF"/>
    <w:rsid w:val="13D24F6C"/>
    <w:rsid w:val="13D86A45"/>
    <w:rsid w:val="13D92D9C"/>
    <w:rsid w:val="13DD445E"/>
    <w:rsid w:val="13DE7C83"/>
    <w:rsid w:val="13F0242F"/>
    <w:rsid w:val="13F7751B"/>
    <w:rsid w:val="13FD073F"/>
    <w:rsid w:val="140171D9"/>
    <w:rsid w:val="1405674E"/>
    <w:rsid w:val="140815BB"/>
    <w:rsid w:val="14087FC1"/>
    <w:rsid w:val="14095006"/>
    <w:rsid w:val="141C71BE"/>
    <w:rsid w:val="141E583B"/>
    <w:rsid w:val="14200F48"/>
    <w:rsid w:val="1424615D"/>
    <w:rsid w:val="1426671F"/>
    <w:rsid w:val="142C143A"/>
    <w:rsid w:val="142E1345"/>
    <w:rsid w:val="14345A34"/>
    <w:rsid w:val="143533EF"/>
    <w:rsid w:val="14367BDC"/>
    <w:rsid w:val="143F5FC4"/>
    <w:rsid w:val="145103FA"/>
    <w:rsid w:val="145F07C7"/>
    <w:rsid w:val="146B69A8"/>
    <w:rsid w:val="146C5189"/>
    <w:rsid w:val="146F1089"/>
    <w:rsid w:val="14816B50"/>
    <w:rsid w:val="148313F4"/>
    <w:rsid w:val="14912D9C"/>
    <w:rsid w:val="14934F1A"/>
    <w:rsid w:val="149559C4"/>
    <w:rsid w:val="149E117F"/>
    <w:rsid w:val="14AC0C32"/>
    <w:rsid w:val="14C27DCC"/>
    <w:rsid w:val="14C45576"/>
    <w:rsid w:val="14C76D6C"/>
    <w:rsid w:val="14CB0971"/>
    <w:rsid w:val="14CB7E6E"/>
    <w:rsid w:val="14CE33C4"/>
    <w:rsid w:val="14DA3DA1"/>
    <w:rsid w:val="14E60B42"/>
    <w:rsid w:val="14EA1C4D"/>
    <w:rsid w:val="150222BF"/>
    <w:rsid w:val="15075355"/>
    <w:rsid w:val="150F7C33"/>
    <w:rsid w:val="1515004B"/>
    <w:rsid w:val="151B7C99"/>
    <w:rsid w:val="15207BBA"/>
    <w:rsid w:val="152F4E1B"/>
    <w:rsid w:val="153817CF"/>
    <w:rsid w:val="15425F26"/>
    <w:rsid w:val="15436E45"/>
    <w:rsid w:val="154D342A"/>
    <w:rsid w:val="1559587F"/>
    <w:rsid w:val="155D577C"/>
    <w:rsid w:val="1574662E"/>
    <w:rsid w:val="15751882"/>
    <w:rsid w:val="1575191B"/>
    <w:rsid w:val="157818C6"/>
    <w:rsid w:val="158D195D"/>
    <w:rsid w:val="15950A0F"/>
    <w:rsid w:val="159F73BB"/>
    <w:rsid w:val="15AF6E40"/>
    <w:rsid w:val="15B03F28"/>
    <w:rsid w:val="15BD66BF"/>
    <w:rsid w:val="15BE2FC0"/>
    <w:rsid w:val="15C526A4"/>
    <w:rsid w:val="15C95B15"/>
    <w:rsid w:val="15DC75CF"/>
    <w:rsid w:val="15DF39E4"/>
    <w:rsid w:val="15E30A80"/>
    <w:rsid w:val="15E310C1"/>
    <w:rsid w:val="15EC4F4E"/>
    <w:rsid w:val="15FB16C4"/>
    <w:rsid w:val="1608480E"/>
    <w:rsid w:val="161C1C58"/>
    <w:rsid w:val="1622315D"/>
    <w:rsid w:val="1626155A"/>
    <w:rsid w:val="16282C4E"/>
    <w:rsid w:val="1629434E"/>
    <w:rsid w:val="162E1BBF"/>
    <w:rsid w:val="162F7556"/>
    <w:rsid w:val="16413A3A"/>
    <w:rsid w:val="16436E25"/>
    <w:rsid w:val="1644500C"/>
    <w:rsid w:val="16461A95"/>
    <w:rsid w:val="16585E87"/>
    <w:rsid w:val="16594F06"/>
    <w:rsid w:val="165A38E6"/>
    <w:rsid w:val="165C6C0C"/>
    <w:rsid w:val="166F5E80"/>
    <w:rsid w:val="16766A92"/>
    <w:rsid w:val="167A52A9"/>
    <w:rsid w:val="167B7B40"/>
    <w:rsid w:val="167C6594"/>
    <w:rsid w:val="167F5523"/>
    <w:rsid w:val="16833FFF"/>
    <w:rsid w:val="16866882"/>
    <w:rsid w:val="16895E32"/>
    <w:rsid w:val="168F69F2"/>
    <w:rsid w:val="16975AD6"/>
    <w:rsid w:val="16980722"/>
    <w:rsid w:val="169C7FDE"/>
    <w:rsid w:val="169F1EA0"/>
    <w:rsid w:val="16A4319F"/>
    <w:rsid w:val="16A70094"/>
    <w:rsid w:val="16AB55DA"/>
    <w:rsid w:val="16AC4DDB"/>
    <w:rsid w:val="16AD733F"/>
    <w:rsid w:val="16AE2FE3"/>
    <w:rsid w:val="16B23908"/>
    <w:rsid w:val="16B4400E"/>
    <w:rsid w:val="16B540F1"/>
    <w:rsid w:val="16C15CF6"/>
    <w:rsid w:val="16C71372"/>
    <w:rsid w:val="16C739DF"/>
    <w:rsid w:val="16C86CDB"/>
    <w:rsid w:val="16D20141"/>
    <w:rsid w:val="16DD3B26"/>
    <w:rsid w:val="16E5732B"/>
    <w:rsid w:val="16EB6E00"/>
    <w:rsid w:val="16EE7649"/>
    <w:rsid w:val="16F04615"/>
    <w:rsid w:val="16F55F75"/>
    <w:rsid w:val="16FD2447"/>
    <w:rsid w:val="17081A43"/>
    <w:rsid w:val="170B631B"/>
    <w:rsid w:val="1712339A"/>
    <w:rsid w:val="171B1C8E"/>
    <w:rsid w:val="171E63FC"/>
    <w:rsid w:val="172244D9"/>
    <w:rsid w:val="1722504D"/>
    <w:rsid w:val="172C2525"/>
    <w:rsid w:val="1738730F"/>
    <w:rsid w:val="17407E9C"/>
    <w:rsid w:val="17416499"/>
    <w:rsid w:val="17481B81"/>
    <w:rsid w:val="17481E8B"/>
    <w:rsid w:val="174A69B0"/>
    <w:rsid w:val="174B58EC"/>
    <w:rsid w:val="1750027D"/>
    <w:rsid w:val="175007ED"/>
    <w:rsid w:val="17667C8E"/>
    <w:rsid w:val="176B45C6"/>
    <w:rsid w:val="176C447F"/>
    <w:rsid w:val="17830A97"/>
    <w:rsid w:val="17850F99"/>
    <w:rsid w:val="17875303"/>
    <w:rsid w:val="178815C4"/>
    <w:rsid w:val="178E0548"/>
    <w:rsid w:val="1793626E"/>
    <w:rsid w:val="17991452"/>
    <w:rsid w:val="17A875F5"/>
    <w:rsid w:val="17AB40A1"/>
    <w:rsid w:val="17AC60A9"/>
    <w:rsid w:val="17B5256D"/>
    <w:rsid w:val="17B92501"/>
    <w:rsid w:val="17CD2623"/>
    <w:rsid w:val="17D651ED"/>
    <w:rsid w:val="17E65848"/>
    <w:rsid w:val="17E66DD8"/>
    <w:rsid w:val="17E84839"/>
    <w:rsid w:val="17EE1403"/>
    <w:rsid w:val="17F25234"/>
    <w:rsid w:val="17FD061B"/>
    <w:rsid w:val="17FF6314"/>
    <w:rsid w:val="1800350F"/>
    <w:rsid w:val="18005F41"/>
    <w:rsid w:val="18025414"/>
    <w:rsid w:val="180A40AA"/>
    <w:rsid w:val="180E3727"/>
    <w:rsid w:val="18171305"/>
    <w:rsid w:val="18210958"/>
    <w:rsid w:val="182543BD"/>
    <w:rsid w:val="18334194"/>
    <w:rsid w:val="183E1D37"/>
    <w:rsid w:val="1842749E"/>
    <w:rsid w:val="18482A17"/>
    <w:rsid w:val="184D0787"/>
    <w:rsid w:val="184F4D08"/>
    <w:rsid w:val="185D1883"/>
    <w:rsid w:val="185E3AA1"/>
    <w:rsid w:val="18742BD5"/>
    <w:rsid w:val="18812331"/>
    <w:rsid w:val="18816F1C"/>
    <w:rsid w:val="18853F3E"/>
    <w:rsid w:val="188F5919"/>
    <w:rsid w:val="18956393"/>
    <w:rsid w:val="18A8582C"/>
    <w:rsid w:val="18B50543"/>
    <w:rsid w:val="18C515FC"/>
    <w:rsid w:val="18CA40C3"/>
    <w:rsid w:val="18CC73BC"/>
    <w:rsid w:val="18CD7A02"/>
    <w:rsid w:val="18CE2087"/>
    <w:rsid w:val="18D36C6F"/>
    <w:rsid w:val="18E21EFF"/>
    <w:rsid w:val="18F32AFF"/>
    <w:rsid w:val="18F37652"/>
    <w:rsid w:val="18FB7BA5"/>
    <w:rsid w:val="19001FFC"/>
    <w:rsid w:val="190E2B4A"/>
    <w:rsid w:val="19151C58"/>
    <w:rsid w:val="1917174A"/>
    <w:rsid w:val="19256D7A"/>
    <w:rsid w:val="19292CD4"/>
    <w:rsid w:val="192C403E"/>
    <w:rsid w:val="193275C2"/>
    <w:rsid w:val="19392B01"/>
    <w:rsid w:val="19454C70"/>
    <w:rsid w:val="194D2005"/>
    <w:rsid w:val="194D3980"/>
    <w:rsid w:val="196229FF"/>
    <w:rsid w:val="19655A52"/>
    <w:rsid w:val="19663168"/>
    <w:rsid w:val="196D1144"/>
    <w:rsid w:val="197724BD"/>
    <w:rsid w:val="19786B0A"/>
    <w:rsid w:val="197D4B59"/>
    <w:rsid w:val="198A41A1"/>
    <w:rsid w:val="199A2059"/>
    <w:rsid w:val="199B4699"/>
    <w:rsid w:val="19A40543"/>
    <w:rsid w:val="19AF3490"/>
    <w:rsid w:val="19B46E10"/>
    <w:rsid w:val="19C456C1"/>
    <w:rsid w:val="19C47D20"/>
    <w:rsid w:val="19C96BAE"/>
    <w:rsid w:val="19D21AFD"/>
    <w:rsid w:val="19DB6A7E"/>
    <w:rsid w:val="19DF018D"/>
    <w:rsid w:val="19E65498"/>
    <w:rsid w:val="19F061A1"/>
    <w:rsid w:val="19F3324D"/>
    <w:rsid w:val="1A054259"/>
    <w:rsid w:val="1A081816"/>
    <w:rsid w:val="1A0C5680"/>
    <w:rsid w:val="1A153EDB"/>
    <w:rsid w:val="1A165171"/>
    <w:rsid w:val="1A2F1830"/>
    <w:rsid w:val="1A4770E8"/>
    <w:rsid w:val="1A4858FF"/>
    <w:rsid w:val="1A4C698A"/>
    <w:rsid w:val="1A5222B5"/>
    <w:rsid w:val="1A552907"/>
    <w:rsid w:val="1A586874"/>
    <w:rsid w:val="1A5D5219"/>
    <w:rsid w:val="1A5E4B5A"/>
    <w:rsid w:val="1A605995"/>
    <w:rsid w:val="1A672B1C"/>
    <w:rsid w:val="1A6D7E69"/>
    <w:rsid w:val="1A735226"/>
    <w:rsid w:val="1A8301C0"/>
    <w:rsid w:val="1A852016"/>
    <w:rsid w:val="1A872248"/>
    <w:rsid w:val="1A8A605A"/>
    <w:rsid w:val="1A923A68"/>
    <w:rsid w:val="1A9B2279"/>
    <w:rsid w:val="1A9D2D45"/>
    <w:rsid w:val="1A9E6232"/>
    <w:rsid w:val="1AA57BA7"/>
    <w:rsid w:val="1AA74D3D"/>
    <w:rsid w:val="1AB34DB4"/>
    <w:rsid w:val="1AB613FD"/>
    <w:rsid w:val="1AB91DEF"/>
    <w:rsid w:val="1AC1475F"/>
    <w:rsid w:val="1ACF5EB8"/>
    <w:rsid w:val="1AD2428E"/>
    <w:rsid w:val="1AD26086"/>
    <w:rsid w:val="1AD827ED"/>
    <w:rsid w:val="1AD96085"/>
    <w:rsid w:val="1ADA65A5"/>
    <w:rsid w:val="1ADC75C9"/>
    <w:rsid w:val="1ADD5ACE"/>
    <w:rsid w:val="1ADD7AC1"/>
    <w:rsid w:val="1AE013F8"/>
    <w:rsid w:val="1AE8570C"/>
    <w:rsid w:val="1AF14946"/>
    <w:rsid w:val="1AFB06A3"/>
    <w:rsid w:val="1B0F19AE"/>
    <w:rsid w:val="1B2160BB"/>
    <w:rsid w:val="1B3137EE"/>
    <w:rsid w:val="1B3637AD"/>
    <w:rsid w:val="1B3E0DB5"/>
    <w:rsid w:val="1B435D31"/>
    <w:rsid w:val="1B454C94"/>
    <w:rsid w:val="1B496377"/>
    <w:rsid w:val="1B506283"/>
    <w:rsid w:val="1B631ABC"/>
    <w:rsid w:val="1B6353EE"/>
    <w:rsid w:val="1B6C0DF0"/>
    <w:rsid w:val="1B7034E2"/>
    <w:rsid w:val="1B797F1F"/>
    <w:rsid w:val="1B7F6005"/>
    <w:rsid w:val="1B852125"/>
    <w:rsid w:val="1B862C77"/>
    <w:rsid w:val="1B94236B"/>
    <w:rsid w:val="1B997393"/>
    <w:rsid w:val="1B9A1502"/>
    <w:rsid w:val="1B9C269A"/>
    <w:rsid w:val="1B9E64C5"/>
    <w:rsid w:val="1B9E6D4C"/>
    <w:rsid w:val="1BA252C1"/>
    <w:rsid w:val="1BAF07EF"/>
    <w:rsid w:val="1BBD43BA"/>
    <w:rsid w:val="1BBF5F5B"/>
    <w:rsid w:val="1BC01115"/>
    <w:rsid w:val="1BC44015"/>
    <w:rsid w:val="1BCA6284"/>
    <w:rsid w:val="1BE475CF"/>
    <w:rsid w:val="1BE94688"/>
    <w:rsid w:val="1BEA3348"/>
    <w:rsid w:val="1BFE5FF9"/>
    <w:rsid w:val="1C013494"/>
    <w:rsid w:val="1C053414"/>
    <w:rsid w:val="1C132CB9"/>
    <w:rsid w:val="1C1642A1"/>
    <w:rsid w:val="1C172E5D"/>
    <w:rsid w:val="1C207A38"/>
    <w:rsid w:val="1C273D33"/>
    <w:rsid w:val="1C274D98"/>
    <w:rsid w:val="1C372551"/>
    <w:rsid w:val="1C4032AB"/>
    <w:rsid w:val="1C4672ED"/>
    <w:rsid w:val="1C467AB6"/>
    <w:rsid w:val="1C4774D8"/>
    <w:rsid w:val="1C6277A9"/>
    <w:rsid w:val="1C6505C1"/>
    <w:rsid w:val="1C687AA0"/>
    <w:rsid w:val="1C7B213D"/>
    <w:rsid w:val="1C7F54CE"/>
    <w:rsid w:val="1C7F743F"/>
    <w:rsid w:val="1C8C4AA9"/>
    <w:rsid w:val="1C8C604B"/>
    <w:rsid w:val="1C92160B"/>
    <w:rsid w:val="1C973EEF"/>
    <w:rsid w:val="1C9E044B"/>
    <w:rsid w:val="1CA03243"/>
    <w:rsid w:val="1CAD6E83"/>
    <w:rsid w:val="1CAF5DB2"/>
    <w:rsid w:val="1CB00002"/>
    <w:rsid w:val="1CB40DF1"/>
    <w:rsid w:val="1CCC26CA"/>
    <w:rsid w:val="1CCF6CAF"/>
    <w:rsid w:val="1CD2156B"/>
    <w:rsid w:val="1CD41743"/>
    <w:rsid w:val="1CD44D3D"/>
    <w:rsid w:val="1CD51DA1"/>
    <w:rsid w:val="1CE45EF5"/>
    <w:rsid w:val="1CE615C9"/>
    <w:rsid w:val="1D037029"/>
    <w:rsid w:val="1D046E4C"/>
    <w:rsid w:val="1D051DAC"/>
    <w:rsid w:val="1D1316E8"/>
    <w:rsid w:val="1D151FC9"/>
    <w:rsid w:val="1D1D7103"/>
    <w:rsid w:val="1D2B0BB4"/>
    <w:rsid w:val="1D3305FF"/>
    <w:rsid w:val="1D335FC4"/>
    <w:rsid w:val="1D343363"/>
    <w:rsid w:val="1D395282"/>
    <w:rsid w:val="1D4251BA"/>
    <w:rsid w:val="1D551881"/>
    <w:rsid w:val="1D5959E7"/>
    <w:rsid w:val="1D5F5386"/>
    <w:rsid w:val="1D7072CE"/>
    <w:rsid w:val="1D794A16"/>
    <w:rsid w:val="1D795467"/>
    <w:rsid w:val="1D992975"/>
    <w:rsid w:val="1D9E30A9"/>
    <w:rsid w:val="1DA142D7"/>
    <w:rsid w:val="1DA33B45"/>
    <w:rsid w:val="1DA54EF3"/>
    <w:rsid w:val="1DAB1006"/>
    <w:rsid w:val="1DB33C11"/>
    <w:rsid w:val="1DB34347"/>
    <w:rsid w:val="1DC12FD6"/>
    <w:rsid w:val="1DC65562"/>
    <w:rsid w:val="1DCE33C5"/>
    <w:rsid w:val="1DD13720"/>
    <w:rsid w:val="1DD40512"/>
    <w:rsid w:val="1DE94164"/>
    <w:rsid w:val="1DEA13F1"/>
    <w:rsid w:val="1DEE1B11"/>
    <w:rsid w:val="1E0112F9"/>
    <w:rsid w:val="1E0D3066"/>
    <w:rsid w:val="1E146425"/>
    <w:rsid w:val="1E164B52"/>
    <w:rsid w:val="1E234B9F"/>
    <w:rsid w:val="1E273844"/>
    <w:rsid w:val="1E2F243E"/>
    <w:rsid w:val="1E377E23"/>
    <w:rsid w:val="1E3B4F6B"/>
    <w:rsid w:val="1E417896"/>
    <w:rsid w:val="1E455D19"/>
    <w:rsid w:val="1E572F32"/>
    <w:rsid w:val="1E595CAF"/>
    <w:rsid w:val="1E5B733A"/>
    <w:rsid w:val="1E5C31E8"/>
    <w:rsid w:val="1E64416A"/>
    <w:rsid w:val="1E6607F9"/>
    <w:rsid w:val="1E691070"/>
    <w:rsid w:val="1E796654"/>
    <w:rsid w:val="1E7E6BFD"/>
    <w:rsid w:val="1E805396"/>
    <w:rsid w:val="1E883E6B"/>
    <w:rsid w:val="1E884F62"/>
    <w:rsid w:val="1E991079"/>
    <w:rsid w:val="1E9D6342"/>
    <w:rsid w:val="1E9D6D15"/>
    <w:rsid w:val="1EA77730"/>
    <w:rsid w:val="1EAF5D76"/>
    <w:rsid w:val="1EBD1EAD"/>
    <w:rsid w:val="1EC30CBB"/>
    <w:rsid w:val="1EC36E9D"/>
    <w:rsid w:val="1ECA4D4D"/>
    <w:rsid w:val="1ECD6B66"/>
    <w:rsid w:val="1EE25FDD"/>
    <w:rsid w:val="1EF5103F"/>
    <w:rsid w:val="1EFF621F"/>
    <w:rsid w:val="1F0222AB"/>
    <w:rsid w:val="1F090F9B"/>
    <w:rsid w:val="1F096428"/>
    <w:rsid w:val="1F0E5D6B"/>
    <w:rsid w:val="1F1921D7"/>
    <w:rsid w:val="1F335242"/>
    <w:rsid w:val="1F3E605E"/>
    <w:rsid w:val="1F3E662A"/>
    <w:rsid w:val="1F417C0A"/>
    <w:rsid w:val="1F482412"/>
    <w:rsid w:val="1F4F2219"/>
    <w:rsid w:val="1F5A7FFC"/>
    <w:rsid w:val="1F5D2184"/>
    <w:rsid w:val="1F614D01"/>
    <w:rsid w:val="1F647572"/>
    <w:rsid w:val="1F721405"/>
    <w:rsid w:val="1F870E66"/>
    <w:rsid w:val="1F876076"/>
    <w:rsid w:val="1F935819"/>
    <w:rsid w:val="1F9F1A13"/>
    <w:rsid w:val="1FA076DC"/>
    <w:rsid w:val="1FA6556D"/>
    <w:rsid w:val="1FAF2571"/>
    <w:rsid w:val="1FB21D54"/>
    <w:rsid w:val="1FB7507F"/>
    <w:rsid w:val="1FC03D88"/>
    <w:rsid w:val="1FC47ECF"/>
    <w:rsid w:val="1FC55EDA"/>
    <w:rsid w:val="1FC66FF1"/>
    <w:rsid w:val="1FCE593C"/>
    <w:rsid w:val="1FD175A8"/>
    <w:rsid w:val="1FD81D98"/>
    <w:rsid w:val="1FE312AC"/>
    <w:rsid w:val="1FE34925"/>
    <w:rsid w:val="1FEC5915"/>
    <w:rsid w:val="1FED32EF"/>
    <w:rsid w:val="1FF15638"/>
    <w:rsid w:val="201743BA"/>
    <w:rsid w:val="201E6D7C"/>
    <w:rsid w:val="202432E4"/>
    <w:rsid w:val="20280BF3"/>
    <w:rsid w:val="202E2AB2"/>
    <w:rsid w:val="20355E85"/>
    <w:rsid w:val="203D340C"/>
    <w:rsid w:val="203D7ACF"/>
    <w:rsid w:val="203F0A07"/>
    <w:rsid w:val="20446081"/>
    <w:rsid w:val="204852AD"/>
    <w:rsid w:val="204E6676"/>
    <w:rsid w:val="20531417"/>
    <w:rsid w:val="205A5AA0"/>
    <w:rsid w:val="20677607"/>
    <w:rsid w:val="20685BC4"/>
    <w:rsid w:val="20773A28"/>
    <w:rsid w:val="20776154"/>
    <w:rsid w:val="208574F4"/>
    <w:rsid w:val="208C4449"/>
    <w:rsid w:val="208F6BAF"/>
    <w:rsid w:val="20966D8D"/>
    <w:rsid w:val="20A462BA"/>
    <w:rsid w:val="20BA71B3"/>
    <w:rsid w:val="20BF2AAC"/>
    <w:rsid w:val="20C245BE"/>
    <w:rsid w:val="20C6317E"/>
    <w:rsid w:val="20C849C7"/>
    <w:rsid w:val="20C96A07"/>
    <w:rsid w:val="20D51E1A"/>
    <w:rsid w:val="20D83AF9"/>
    <w:rsid w:val="20DB75CF"/>
    <w:rsid w:val="20DF66D2"/>
    <w:rsid w:val="20E5505C"/>
    <w:rsid w:val="20EC3F2E"/>
    <w:rsid w:val="20EC7C3E"/>
    <w:rsid w:val="20F16108"/>
    <w:rsid w:val="20FA6B72"/>
    <w:rsid w:val="210548E9"/>
    <w:rsid w:val="21124D15"/>
    <w:rsid w:val="21133454"/>
    <w:rsid w:val="212A5BF7"/>
    <w:rsid w:val="213533EC"/>
    <w:rsid w:val="213E7119"/>
    <w:rsid w:val="214369E8"/>
    <w:rsid w:val="214B42B5"/>
    <w:rsid w:val="214D1729"/>
    <w:rsid w:val="21530058"/>
    <w:rsid w:val="216A2141"/>
    <w:rsid w:val="21774C7C"/>
    <w:rsid w:val="21810744"/>
    <w:rsid w:val="218D6EF5"/>
    <w:rsid w:val="2195668B"/>
    <w:rsid w:val="219F5DD6"/>
    <w:rsid w:val="219F69EC"/>
    <w:rsid w:val="21A130EA"/>
    <w:rsid w:val="21BF60EB"/>
    <w:rsid w:val="21C11E60"/>
    <w:rsid w:val="21C267BF"/>
    <w:rsid w:val="21CC442B"/>
    <w:rsid w:val="21CD6BCD"/>
    <w:rsid w:val="21CE6067"/>
    <w:rsid w:val="21CF035F"/>
    <w:rsid w:val="21CF439A"/>
    <w:rsid w:val="21EB2C33"/>
    <w:rsid w:val="21EF1B3D"/>
    <w:rsid w:val="21F00127"/>
    <w:rsid w:val="21F839AC"/>
    <w:rsid w:val="221D2FA3"/>
    <w:rsid w:val="2226635F"/>
    <w:rsid w:val="222D4F0B"/>
    <w:rsid w:val="222E4EF5"/>
    <w:rsid w:val="22333EAB"/>
    <w:rsid w:val="223D7545"/>
    <w:rsid w:val="22411D14"/>
    <w:rsid w:val="22423BE1"/>
    <w:rsid w:val="22454449"/>
    <w:rsid w:val="22484763"/>
    <w:rsid w:val="22500810"/>
    <w:rsid w:val="22544814"/>
    <w:rsid w:val="22557004"/>
    <w:rsid w:val="22605C74"/>
    <w:rsid w:val="226147AE"/>
    <w:rsid w:val="226210EA"/>
    <w:rsid w:val="226347BD"/>
    <w:rsid w:val="22637523"/>
    <w:rsid w:val="22682935"/>
    <w:rsid w:val="227E1569"/>
    <w:rsid w:val="227E5224"/>
    <w:rsid w:val="228A4698"/>
    <w:rsid w:val="229257DC"/>
    <w:rsid w:val="22925971"/>
    <w:rsid w:val="22945167"/>
    <w:rsid w:val="22A00AC0"/>
    <w:rsid w:val="22A55CD5"/>
    <w:rsid w:val="22AF2EE1"/>
    <w:rsid w:val="22C74EE2"/>
    <w:rsid w:val="22CB6237"/>
    <w:rsid w:val="22CD14B5"/>
    <w:rsid w:val="22CE62A8"/>
    <w:rsid w:val="22D928BB"/>
    <w:rsid w:val="22D9694E"/>
    <w:rsid w:val="22E02C6E"/>
    <w:rsid w:val="22E04FF4"/>
    <w:rsid w:val="22E105B9"/>
    <w:rsid w:val="22E1121B"/>
    <w:rsid w:val="22EA4C70"/>
    <w:rsid w:val="22F75251"/>
    <w:rsid w:val="22F86F75"/>
    <w:rsid w:val="22FB4D32"/>
    <w:rsid w:val="23060BC9"/>
    <w:rsid w:val="23131055"/>
    <w:rsid w:val="23241E05"/>
    <w:rsid w:val="233C6F76"/>
    <w:rsid w:val="233C72F1"/>
    <w:rsid w:val="234130C7"/>
    <w:rsid w:val="234449F5"/>
    <w:rsid w:val="23460DA0"/>
    <w:rsid w:val="23536618"/>
    <w:rsid w:val="236F277C"/>
    <w:rsid w:val="237216BA"/>
    <w:rsid w:val="23816932"/>
    <w:rsid w:val="23886A2D"/>
    <w:rsid w:val="238E2016"/>
    <w:rsid w:val="238F70F2"/>
    <w:rsid w:val="239329A2"/>
    <w:rsid w:val="239C062C"/>
    <w:rsid w:val="23A9484E"/>
    <w:rsid w:val="23B32F98"/>
    <w:rsid w:val="23B36F54"/>
    <w:rsid w:val="23B84268"/>
    <w:rsid w:val="23C5553B"/>
    <w:rsid w:val="23CD15BC"/>
    <w:rsid w:val="23D17D7B"/>
    <w:rsid w:val="23D36D91"/>
    <w:rsid w:val="23E344C7"/>
    <w:rsid w:val="23EB310D"/>
    <w:rsid w:val="23F70BA5"/>
    <w:rsid w:val="23F93D0D"/>
    <w:rsid w:val="240366A5"/>
    <w:rsid w:val="2405417E"/>
    <w:rsid w:val="240F5116"/>
    <w:rsid w:val="241B5C62"/>
    <w:rsid w:val="241C5F7B"/>
    <w:rsid w:val="241F401E"/>
    <w:rsid w:val="24280875"/>
    <w:rsid w:val="24290EAF"/>
    <w:rsid w:val="24377DB7"/>
    <w:rsid w:val="243B6F0A"/>
    <w:rsid w:val="24427A08"/>
    <w:rsid w:val="24454B90"/>
    <w:rsid w:val="24572B1C"/>
    <w:rsid w:val="2458381E"/>
    <w:rsid w:val="245872F9"/>
    <w:rsid w:val="245943D9"/>
    <w:rsid w:val="245E6B64"/>
    <w:rsid w:val="2463385E"/>
    <w:rsid w:val="247C27F7"/>
    <w:rsid w:val="248B0DC8"/>
    <w:rsid w:val="24967323"/>
    <w:rsid w:val="249817D6"/>
    <w:rsid w:val="249A4D94"/>
    <w:rsid w:val="249D5FC8"/>
    <w:rsid w:val="24A1538E"/>
    <w:rsid w:val="24AD67F4"/>
    <w:rsid w:val="24B553C5"/>
    <w:rsid w:val="24B9450F"/>
    <w:rsid w:val="24C83F94"/>
    <w:rsid w:val="24CC3EF0"/>
    <w:rsid w:val="24E7219B"/>
    <w:rsid w:val="24F60CDA"/>
    <w:rsid w:val="24FC5D1A"/>
    <w:rsid w:val="24FE42EB"/>
    <w:rsid w:val="24FE7E17"/>
    <w:rsid w:val="25040446"/>
    <w:rsid w:val="250D450C"/>
    <w:rsid w:val="25134332"/>
    <w:rsid w:val="25141A5B"/>
    <w:rsid w:val="2521546A"/>
    <w:rsid w:val="252242ED"/>
    <w:rsid w:val="2524677D"/>
    <w:rsid w:val="252920ED"/>
    <w:rsid w:val="252A2BA6"/>
    <w:rsid w:val="252B49E0"/>
    <w:rsid w:val="253F6469"/>
    <w:rsid w:val="254A35DD"/>
    <w:rsid w:val="254C7F67"/>
    <w:rsid w:val="254E66C5"/>
    <w:rsid w:val="255414CA"/>
    <w:rsid w:val="25657E8F"/>
    <w:rsid w:val="257264FC"/>
    <w:rsid w:val="25734B61"/>
    <w:rsid w:val="25745F06"/>
    <w:rsid w:val="258E7C7F"/>
    <w:rsid w:val="258F6BC4"/>
    <w:rsid w:val="25975923"/>
    <w:rsid w:val="259A3D0A"/>
    <w:rsid w:val="25A76B90"/>
    <w:rsid w:val="25A95F3E"/>
    <w:rsid w:val="25B04013"/>
    <w:rsid w:val="25B4699E"/>
    <w:rsid w:val="25B7161F"/>
    <w:rsid w:val="25B75A0F"/>
    <w:rsid w:val="25BF43FD"/>
    <w:rsid w:val="25BF6041"/>
    <w:rsid w:val="25C35718"/>
    <w:rsid w:val="25C478B3"/>
    <w:rsid w:val="25C53787"/>
    <w:rsid w:val="25CF0252"/>
    <w:rsid w:val="25D0248E"/>
    <w:rsid w:val="25D25F48"/>
    <w:rsid w:val="25D61C5C"/>
    <w:rsid w:val="25D940D6"/>
    <w:rsid w:val="25E70066"/>
    <w:rsid w:val="25EE28A7"/>
    <w:rsid w:val="25F81D70"/>
    <w:rsid w:val="25FB5636"/>
    <w:rsid w:val="25FE58A9"/>
    <w:rsid w:val="26047AC4"/>
    <w:rsid w:val="26070462"/>
    <w:rsid w:val="260C4FF0"/>
    <w:rsid w:val="260D2C45"/>
    <w:rsid w:val="26395C92"/>
    <w:rsid w:val="263F660E"/>
    <w:rsid w:val="26465DA0"/>
    <w:rsid w:val="26497858"/>
    <w:rsid w:val="264C485B"/>
    <w:rsid w:val="265A5249"/>
    <w:rsid w:val="266237C3"/>
    <w:rsid w:val="266749F2"/>
    <w:rsid w:val="267550B9"/>
    <w:rsid w:val="2696082C"/>
    <w:rsid w:val="269C0A66"/>
    <w:rsid w:val="26B06894"/>
    <w:rsid w:val="26B431AD"/>
    <w:rsid w:val="26B654CA"/>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5530F"/>
    <w:rsid w:val="27364EE3"/>
    <w:rsid w:val="273D2762"/>
    <w:rsid w:val="27432013"/>
    <w:rsid w:val="27470B72"/>
    <w:rsid w:val="275144FC"/>
    <w:rsid w:val="27525E32"/>
    <w:rsid w:val="275E7380"/>
    <w:rsid w:val="27604751"/>
    <w:rsid w:val="27624780"/>
    <w:rsid w:val="276D7707"/>
    <w:rsid w:val="27706066"/>
    <w:rsid w:val="277419CB"/>
    <w:rsid w:val="2778582E"/>
    <w:rsid w:val="277C6107"/>
    <w:rsid w:val="277F0B43"/>
    <w:rsid w:val="27806765"/>
    <w:rsid w:val="27832596"/>
    <w:rsid w:val="278C1620"/>
    <w:rsid w:val="279B1E53"/>
    <w:rsid w:val="27AA3521"/>
    <w:rsid w:val="27AB0725"/>
    <w:rsid w:val="27AB7429"/>
    <w:rsid w:val="27B1698D"/>
    <w:rsid w:val="27B903B5"/>
    <w:rsid w:val="27C57B2B"/>
    <w:rsid w:val="27C8029E"/>
    <w:rsid w:val="27CC78AC"/>
    <w:rsid w:val="27D72FE7"/>
    <w:rsid w:val="27D86029"/>
    <w:rsid w:val="27DC10DD"/>
    <w:rsid w:val="27DD45ED"/>
    <w:rsid w:val="27E3651B"/>
    <w:rsid w:val="27E864CC"/>
    <w:rsid w:val="27EC25E3"/>
    <w:rsid w:val="27ED0939"/>
    <w:rsid w:val="27F1498B"/>
    <w:rsid w:val="27FF3E3E"/>
    <w:rsid w:val="28027A71"/>
    <w:rsid w:val="280B75B9"/>
    <w:rsid w:val="281500D5"/>
    <w:rsid w:val="281832D7"/>
    <w:rsid w:val="281F2BD3"/>
    <w:rsid w:val="281F4F67"/>
    <w:rsid w:val="2821452A"/>
    <w:rsid w:val="282861B6"/>
    <w:rsid w:val="28315056"/>
    <w:rsid w:val="283744B4"/>
    <w:rsid w:val="283D7337"/>
    <w:rsid w:val="284029D8"/>
    <w:rsid w:val="28423E20"/>
    <w:rsid w:val="2843297C"/>
    <w:rsid w:val="28485D62"/>
    <w:rsid w:val="284B1E95"/>
    <w:rsid w:val="285560D7"/>
    <w:rsid w:val="285B737A"/>
    <w:rsid w:val="28696098"/>
    <w:rsid w:val="286E74F1"/>
    <w:rsid w:val="28760CA0"/>
    <w:rsid w:val="28796ED0"/>
    <w:rsid w:val="287B218C"/>
    <w:rsid w:val="288A05DD"/>
    <w:rsid w:val="28937D89"/>
    <w:rsid w:val="289B0550"/>
    <w:rsid w:val="289E117F"/>
    <w:rsid w:val="28AC1711"/>
    <w:rsid w:val="28BE71CB"/>
    <w:rsid w:val="28C927D1"/>
    <w:rsid w:val="28C96C14"/>
    <w:rsid w:val="28CD627E"/>
    <w:rsid w:val="28D04F68"/>
    <w:rsid w:val="28E138E3"/>
    <w:rsid w:val="28E74216"/>
    <w:rsid w:val="28E87EE4"/>
    <w:rsid w:val="2903396A"/>
    <w:rsid w:val="29087976"/>
    <w:rsid w:val="290B654D"/>
    <w:rsid w:val="290E6CE7"/>
    <w:rsid w:val="29112750"/>
    <w:rsid w:val="29124309"/>
    <w:rsid w:val="2921752E"/>
    <w:rsid w:val="29247109"/>
    <w:rsid w:val="294E766A"/>
    <w:rsid w:val="29513848"/>
    <w:rsid w:val="296B203C"/>
    <w:rsid w:val="297161D3"/>
    <w:rsid w:val="297510B4"/>
    <w:rsid w:val="2978319A"/>
    <w:rsid w:val="29886D49"/>
    <w:rsid w:val="29897A2F"/>
    <w:rsid w:val="299436D0"/>
    <w:rsid w:val="29A02DFF"/>
    <w:rsid w:val="29A3014B"/>
    <w:rsid w:val="29A74CBD"/>
    <w:rsid w:val="29A80BF5"/>
    <w:rsid w:val="29B01C34"/>
    <w:rsid w:val="29B16357"/>
    <w:rsid w:val="29B35300"/>
    <w:rsid w:val="29BA0D88"/>
    <w:rsid w:val="29BA6381"/>
    <w:rsid w:val="29BB3E72"/>
    <w:rsid w:val="29BE0BA0"/>
    <w:rsid w:val="29CD6B73"/>
    <w:rsid w:val="29CF32B2"/>
    <w:rsid w:val="29DE15A2"/>
    <w:rsid w:val="29EC475A"/>
    <w:rsid w:val="29EF3680"/>
    <w:rsid w:val="29EF424E"/>
    <w:rsid w:val="29F45503"/>
    <w:rsid w:val="29FA7F26"/>
    <w:rsid w:val="2A074402"/>
    <w:rsid w:val="2A0A1918"/>
    <w:rsid w:val="2A144016"/>
    <w:rsid w:val="2A166823"/>
    <w:rsid w:val="2A191A5A"/>
    <w:rsid w:val="2A2E6F54"/>
    <w:rsid w:val="2A35650F"/>
    <w:rsid w:val="2A394530"/>
    <w:rsid w:val="2A405845"/>
    <w:rsid w:val="2A45641B"/>
    <w:rsid w:val="2A477CE9"/>
    <w:rsid w:val="2A496A6F"/>
    <w:rsid w:val="2A4C39E2"/>
    <w:rsid w:val="2A4D593F"/>
    <w:rsid w:val="2A573CED"/>
    <w:rsid w:val="2A576A6E"/>
    <w:rsid w:val="2A58319D"/>
    <w:rsid w:val="2A5C6B8D"/>
    <w:rsid w:val="2A601B8C"/>
    <w:rsid w:val="2A627FCF"/>
    <w:rsid w:val="2A6E31F8"/>
    <w:rsid w:val="2A704730"/>
    <w:rsid w:val="2A722B84"/>
    <w:rsid w:val="2A836D08"/>
    <w:rsid w:val="2A87174E"/>
    <w:rsid w:val="2A8A2F9C"/>
    <w:rsid w:val="2A904116"/>
    <w:rsid w:val="2A9845F0"/>
    <w:rsid w:val="2AAC5A06"/>
    <w:rsid w:val="2ABB3D6F"/>
    <w:rsid w:val="2AC25434"/>
    <w:rsid w:val="2AC70B30"/>
    <w:rsid w:val="2ACC2AAF"/>
    <w:rsid w:val="2AD56653"/>
    <w:rsid w:val="2AD74744"/>
    <w:rsid w:val="2AD91AC2"/>
    <w:rsid w:val="2AE17EE7"/>
    <w:rsid w:val="2AE57C95"/>
    <w:rsid w:val="2AF35C8B"/>
    <w:rsid w:val="2B0B578B"/>
    <w:rsid w:val="2B0C0EEE"/>
    <w:rsid w:val="2B132265"/>
    <w:rsid w:val="2B2064EE"/>
    <w:rsid w:val="2B214776"/>
    <w:rsid w:val="2B2843BE"/>
    <w:rsid w:val="2B313FC1"/>
    <w:rsid w:val="2B347C14"/>
    <w:rsid w:val="2B39348E"/>
    <w:rsid w:val="2B437285"/>
    <w:rsid w:val="2B494377"/>
    <w:rsid w:val="2B4B30FC"/>
    <w:rsid w:val="2B4D5018"/>
    <w:rsid w:val="2B4D695C"/>
    <w:rsid w:val="2B514803"/>
    <w:rsid w:val="2B5E14FB"/>
    <w:rsid w:val="2B637D4B"/>
    <w:rsid w:val="2B674B1E"/>
    <w:rsid w:val="2B6B1684"/>
    <w:rsid w:val="2B7B70BF"/>
    <w:rsid w:val="2B7E23C3"/>
    <w:rsid w:val="2B853AF3"/>
    <w:rsid w:val="2B8A506E"/>
    <w:rsid w:val="2B8B422C"/>
    <w:rsid w:val="2BA07D38"/>
    <w:rsid w:val="2BA216D7"/>
    <w:rsid w:val="2BB55019"/>
    <w:rsid w:val="2BC40957"/>
    <w:rsid w:val="2BC628A0"/>
    <w:rsid w:val="2BCB5DAA"/>
    <w:rsid w:val="2BD65380"/>
    <w:rsid w:val="2BD83962"/>
    <w:rsid w:val="2BE65E96"/>
    <w:rsid w:val="2BE725D0"/>
    <w:rsid w:val="2BE838DD"/>
    <w:rsid w:val="2BF369B9"/>
    <w:rsid w:val="2BFC0A4A"/>
    <w:rsid w:val="2C094904"/>
    <w:rsid w:val="2C0B3FCA"/>
    <w:rsid w:val="2C0E55A1"/>
    <w:rsid w:val="2C1C1B17"/>
    <w:rsid w:val="2C210873"/>
    <w:rsid w:val="2C343611"/>
    <w:rsid w:val="2C3A7BF6"/>
    <w:rsid w:val="2C425BCE"/>
    <w:rsid w:val="2C44676A"/>
    <w:rsid w:val="2C485295"/>
    <w:rsid w:val="2C495BE4"/>
    <w:rsid w:val="2C495C38"/>
    <w:rsid w:val="2C4A080C"/>
    <w:rsid w:val="2C4B79EC"/>
    <w:rsid w:val="2C54533B"/>
    <w:rsid w:val="2C591378"/>
    <w:rsid w:val="2C677A31"/>
    <w:rsid w:val="2C716FB7"/>
    <w:rsid w:val="2C770676"/>
    <w:rsid w:val="2C797A76"/>
    <w:rsid w:val="2C8F4862"/>
    <w:rsid w:val="2C911716"/>
    <w:rsid w:val="2C9E5AC8"/>
    <w:rsid w:val="2CA2721B"/>
    <w:rsid w:val="2CAC6D87"/>
    <w:rsid w:val="2CB21B75"/>
    <w:rsid w:val="2CB600FC"/>
    <w:rsid w:val="2CE079AD"/>
    <w:rsid w:val="2CE8526F"/>
    <w:rsid w:val="2CEC353A"/>
    <w:rsid w:val="2CEF21C5"/>
    <w:rsid w:val="2CFC2C64"/>
    <w:rsid w:val="2D015187"/>
    <w:rsid w:val="2D026315"/>
    <w:rsid w:val="2D03083C"/>
    <w:rsid w:val="2D036C68"/>
    <w:rsid w:val="2D0764BD"/>
    <w:rsid w:val="2D086672"/>
    <w:rsid w:val="2D0B3169"/>
    <w:rsid w:val="2D0D4219"/>
    <w:rsid w:val="2D115C7A"/>
    <w:rsid w:val="2D1E0AF2"/>
    <w:rsid w:val="2D271D68"/>
    <w:rsid w:val="2D274320"/>
    <w:rsid w:val="2D2D2DE2"/>
    <w:rsid w:val="2D321869"/>
    <w:rsid w:val="2D324CCC"/>
    <w:rsid w:val="2D334274"/>
    <w:rsid w:val="2D340E86"/>
    <w:rsid w:val="2D356AB0"/>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A23D5C"/>
    <w:rsid w:val="2DA6290C"/>
    <w:rsid w:val="2DB872E3"/>
    <w:rsid w:val="2DC66A91"/>
    <w:rsid w:val="2DC92AA1"/>
    <w:rsid w:val="2DCE5F69"/>
    <w:rsid w:val="2DDD4F0A"/>
    <w:rsid w:val="2DEC48AC"/>
    <w:rsid w:val="2DFE0184"/>
    <w:rsid w:val="2E063012"/>
    <w:rsid w:val="2E125241"/>
    <w:rsid w:val="2E1432DA"/>
    <w:rsid w:val="2E1F0CF7"/>
    <w:rsid w:val="2E3118D8"/>
    <w:rsid w:val="2E34792A"/>
    <w:rsid w:val="2E437E73"/>
    <w:rsid w:val="2E5034DC"/>
    <w:rsid w:val="2E572AB9"/>
    <w:rsid w:val="2E573D14"/>
    <w:rsid w:val="2E614626"/>
    <w:rsid w:val="2E7057C3"/>
    <w:rsid w:val="2E7258DC"/>
    <w:rsid w:val="2E79458E"/>
    <w:rsid w:val="2E797A78"/>
    <w:rsid w:val="2E7C6A94"/>
    <w:rsid w:val="2E8321A5"/>
    <w:rsid w:val="2E8945B3"/>
    <w:rsid w:val="2E8D14A8"/>
    <w:rsid w:val="2E943EE9"/>
    <w:rsid w:val="2E9B7377"/>
    <w:rsid w:val="2E9F6D95"/>
    <w:rsid w:val="2EAA33F6"/>
    <w:rsid w:val="2EAE350B"/>
    <w:rsid w:val="2EB16AB5"/>
    <w:rsid w:val="2EB20A6C"/>
    <w:rsid w:val="2EBC2287"/>
    <w:rsid w:val="2EBF350E"/>
    <w:rsid w:val="2EC255A6"/>
    <w:rsid w:val="2ECA3116"/>
    <w:rsid w:val="2ED53442"/>
    <w:rsid w:val="2EDD7896"/>
    <w:rsid w:val="2EDF2ECD"/>
    <w:rsid w:val="2EEA6E65"/>
    <w:rsid w:val="2EF33C7C"/>
    <w:rsid w:val="2EF66AA8"/>
    <w:rsid w:val="2F00052B"/>
    <w:rsid w:val="2F0367CD"/>
    <w:rsid w:val="2F0B683E"/>
    <w:rsid w:val="2F1251F2"/>
    <w:rsid w:val="2F183841"/>
    <w:rsid w:val="2F1B08DB"/>
    <w:rsid w:val="2F237D44"/>
    <w:rsid w:val="2F2D445E"/>
    <w:rsid w:val="2F2F2950"/>
    <w:rsid w:val="2F4F6FBB"/>
    <w:rsid w:val="2F664E2B"/>
    <w:rsid w:val="2F6C7BE3"/>
    <w:rsid w:val="2F715580"/>
    <w:rsid w:val="2F783485"/>
    <w:rsid w:val="2F7F5C0B"/>
    <w:rsid w:val="2F9D2881"/>
    <w:rsid w:val="2FA6492D"/>
    <w:rsid w:val="2FC43715"/>
    <w:rsid w:val="2FC86676"/>
    <w:rsid w:val="2FD12962"/>
    <w:rsid w:val="2FD150ED"/>
    <w:rsid w:val="2FD17A1B"/>
    <w:rsid w:val="2FD71CA4"/>
    <w:rsid w:val="2FDA1416"/>
    <w:rsid w:val="2FDC4A8D"/>
    <w:rsid w:val="2FDE43D5"/>
    <w:rsid w:val="2FEE50B1"/>
    <w:rsid w:val="2FF93066"/>
    <w:rsid w:val="301A71CE"/>
    <w:rsid w:val="301C3E88"/>
    <w:rsid w:val="301E049B"/>
    <w:rsid w:val="302A4BE6"/>
    <w:rsid w:val="303C7735"/>
    <w:rsid w:val="304117E8"/>
    <w:rsid w:val="304478EC"/>
    <w:rsid w:val="30515C8E"/>
    <w:rsid w:val="306C64E5"/>
    <w:rsid w:val="3074524A"/>
    <w:rsid w:val="308A573E"/>
    <w:rsid w:val="3091013E"/>
    <w:rsid w:val="30926F91"/>
    <w:rsid w:val="309440A1"/>
    <w:rsid w:val="30962F3E"/>
    <w:rsid w:val="30AA2585"/>
    <w:rsid w:val="30B03DC4"/>
    <w:rsid w:val="30C16A19"/>
    <w:rsid w:val="30CB5800"/>
    <w:rsid w:val="30D32236"/>
    <w:rsid w:val="30F92FE5"/>
    <w:rsid w:val="30FA7530"/>
    <w:rsid w:val="30FF2795"/>
    <w:rsid w:val="310225AA"/>
    <w:rsid w:val="310375CD"/>
    <w:rsid w:val="31051E91"/>
    <w:rsid w:val="310B0487"/>
    <w:rsid w:val="310C576F"/>
    <w:rsid w:val="310E6387"/>
    <w:rsid w:val="311611B3"/>
    <w:rsid w:val="311A6C35"/>
    <w:rsid w:val="3122588D"/>
    <w:rsid w:val="31333AA3"/>
    <w:rsid w:val="313C313D"/>
    <w:rsid w:val="313F6DC6"/>
    <w:rsid w:val="31431170"/>
    <w:rsid w:val="314742C0"/>
    <w:rsid w:val="314879D1"/>
    <w:rsid w:val="314E236F"/>
    <w:rsid w:val="315A40C3"/>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20333"/>
    <w:rsid w:val="31B718F2"/>
    <w:rsid w:val="31B7224A"/>
    <w:rsid w:val="31C819E4"/>
    <w:rsid w:val="31C916F7"/>
    <w:rsid w:val="31D20051"/>
    <w:rsid w:val="31D54649"/>
    <w:rsid w:val="31DB0E08"/>
    <w:rsid w:val="31E65051"/>
    <w:rsid w:val="31E806EF"/>
    <w:rsid w:val="31EF7EE8"/>
    <w:rsid w:val="31FF1FAB"/>
    <w:rsid w:val="3201404F"/>
    <w:rsid w:val="320901F5"/>
    <w:rsid w:val="320B7CCB"/>
    <w:rsid w:val="320F12CA"/>
    <w:rsid w:val="32105DE8"/>
    <w:rsid w:val="32163AC8"/>
    <w:rsid w:val="3235187E"/>
    <w:rsid w:val="3237186B"/>
    <w:rsid w:val="323B6798"/>
    <w:rsid w:val="323E223B"/>
    <w:rsid w:val="32470AEB"/>
    <w:rsid w:val="32537B57"/>
    <w:rsid w:val="325779E7"/>
    <w:rsid w:val="325B1D9C"/>
    <w:rsid w:val="325F618E"/>
    <w:rsid w:val="32724A5B"/>
    <w:rsid w:val="32757E99"/>
    <w:rsid w:val="32770A74"/>
    <w:rsid w:val="327A52AA"/>
    <w:rsid w:val="327D43E5"/>
    <w:rsid w:val="328F5534"/>
    <w:rsid w:val="329A6ACE"/>
    <w:rsid w:val="32A145CA"/>
    <w:rsid w:val="32A230DB"/>
    <w:rsid w:val="32BB0394"/>
    <w:rsid w:val="32CE7F7A"/>
    <w:rsid w:val="32D9350A"/>
    <w:rsid w:val="32DF351E"/>
    <w:rsid w:val="32EE5E41"/>
    <w:rsid w:val="32F40F87"/>
    <w:rsid w:val="32F549ED"/>
    <w:rsid w:val="32FD7C76"/>
    <w:rsid w:val="330C22FC"/>
    <w:rsid w:val="33277E81"/>
    <w:rsid w:val="33304A5C"/>
    <w:rsid w:val="33404DED"/>
    <w:rsid w:val="334D63FF"/>
    <w:rsid w:val="33540E5D"/>
    <w:rsid w:val="33575633"/>
    <w:rsid w:val="33587D60"/>
    <w:rsid w:val="335A0521"/>
    <w:rsid w:val="335E7B11"/>
    <w:rsid w:val="336032E8"/>
    <w:rsid w:val="336342BE"/>
    <w:rsid w:val="3364318B"/>
    <w:rsid w:val="33691888"/>
    <w:rsid w:val="336A499A"/>
    <w:rsid w:val="33714830"/>
    <w:rsid w:val="33737F51"/>
    <w:rsid w:val="33764F61"/>
    <w:rsid w:val="337964FF"/>
    <w:rsid w:val="337D34FB"/>
    <w:rsid w:val="337E2DAF"/>
    <w:rsid w:val="33953C2E"/>
    <w:rsid w:val="339D6884"/>
    <w:rsid w:val="33A47053"/>
    <w:rsid w:val="33A5256D"/>
    <w:rsid w:val="33BF4199"/>
    <w:rsid w:val="33C47354"/>
    <w:rsid w:val="33CD6498"/>
    <w:rsid w:val="33D52499"/>
    <w:rsid w:val="33D7554F"/>
    <w:rsid w:val="33ED2B2C"/>
    <w:rsid w:val="33FB4AD5"/>
    <w:rsid w:val="33FE62E7"/>
    <w:rsid w:val="34003F5F"/>
    <w:rsid w:val="34006544"/>
    <w:rsid w:val="34080399"/>
    <w:rsid w:val="340D25F6"/>
    <w:rsid w:val="341E0A7E"/>
    <w:rsid w:val="34216BA7"/>
    <w:rsid w:val="3429226D"/>
    <w:rsid w:val="342B76C7"/>
    <w:rsid w:val="34341A95"/>
    <w:rsid w:val="343A1527"/>
    <w:rsid w:val="34402B3F"/>
    <w:rsid w:val="34447898"/>
    <w:rsid w:val="344E62FA"/>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EA71C7"/>
    <w:rsid w:val="34F34951"/>
    <w:rsid w:val="350B42D5"/>
    <w:rsid w:val="350F6258"/>
    <w:rsid w:val="351A603C"/>
    <w:rsid w:val="352821F6"/>
    <w:rsid w:val="3529421E"/>
    <w:rsid w:val="3533698A"/>
    <w:rsid w:val="35387F19"/>
    <w:rsid w:val="3539550B"/>
    <w:rsid w:val="35533061"/>
    <w:rsid w:val="35553BD3"/>
    <w:rsid w:val="356678B4"/>
    <w:rsid w:val="356F0F35"/>
    <w:rsid w:val="3573649F"/>
    <w:rsid w:val="357E4B0A"/>
    <w:rsid w:val="35866D7F"/>
    <w:rsid w:val="358F6BDF"/>
    <w:rsid w:val="359166D4"/>
    <w:rsid w:val="35967B43"/>
    <w:rsid w:val="35C06D50"/>
    <w:rsid w:val="35CA3D9E"/>
    <w:rsid w:val="35CD6F14"/>
    <w:rsid w:val="35CF5019"/>
    <w:rsid w:val="35D24294"/>
    <w:rsid w:val="35D71152"/>
    <w:rsid w:val="35D963E6"/>
    <w:rsid w:val="35DC736B"/>
    <w:rsid w:val="35E551FC"/>
    <w:rsid w:val="35EA5633"/>
    <w:rsid w:val="35ED4C4F"/>
    <w:rsid w:val="35F13CA9"/>
    <w:rsid w:val="35F23B39"/>
    <w:rsid w:val="35FF6F3C"/>
    <w:rsid w:val="36021B75"/>
    <w:rsid w:val="36075F27"/>
    <w:rsid w:val="36121506"/>
    <w:rsid w:val="361A62E3"/>
    <w:rsid w:val="361D621A"/>
    <w:rsid w:val="361D7A43"/>
    <w:rsid w:val="361F3323"/>
    <w:rsid w:val="363B4A32"/>
    <w:rsid w:val="36402EFA"/>
    <w:rsid w:val="36496A51"/>
    <w:rsid w:val="36514C80"/>
    <w:rsid w:val="365623F6"/>
    <w:rsid w:val="36703B69"/>
    <w:rsid w:val="36820DFD"/>
    <w:rsid w:val="368230C6"/>
    <w:rsid w:val="36843A03"/>
    <w:rsid w:val="36856059"/>
    <w:rsid w:val="368D1751"/>
    <w:rsid w:val="368E7248"/>
    <w:rsid w:val="368F7E4F"/>
    <w:rsid w:val="36985297"/>
    <w:rsid w:val="369F633B"/>
    <w:rsid w:val="36A30FDB"/>
    <w:rsid w:val="36A7007C"/>
    <w:rsid w:val="36B24AE8"/>
    <w:rsid w:val="36BD0DC4"/>
    <w:rsid w:val="36D51D00"/>
    <w:rsid w:val="36D66B5E"/>
    <w:rsid w:val="36D94FAB"/>
    <w:rsid w:val="36E62234"/>
    <w:rsid w:val="36E64E5D"/>
    <w:rsid w:val="36E73971"/>
    <w:rsid w:val="36E93760"/>
    <w:rsid w:val="36F9022B"/>
    <w:rsid w:val="36FB4305"/>
    <w:rsid w:val="3708597F"/>
    <w:rsid w:val="3709624C"/>
    <w:rsid w:val="37096815"/>
    <w:rsid w:val="370F7060"/>
    <w:rsid w:val="371050B8"/>
    <w:rsid w:val="37134801"/>
    <w:rsid w:val="37173233"/>
    <w:rsid w:val="371C344E"/>
    <w:rsid w:val="37202311"/>
    <w:rsid w:val="37226558"/>
    <w:rsid w:val="3734159D"/>
    <w:rsid w:val="37382526"/>
    <w:rsid w:val="373B4C89"/>
    <w:rsid w:val="374B3251"/>
    <w:rsid w:val="37503E6C"/>
    <w:rsid w:val="3758590A"/>
    <w:rsid w:val="375E77B2"/>
    <w:rsid w:val="37602E60"/>
    <w:rsid w:val="37633FAC"/>
    <w:rsid w:val="376714F2"/>
    <w:rsid w:val="378229A7"/>
    <w:rsid w:val="3784394E"/>
    <w:rsid w:val="37856510"/>
    <w:rsid w:val="37944D89"/>
    <w:rsid w:val="37987437"/>
    <w:rsid w:val="379F33FC"/>
    <w:rsid w:val="37A432E4"/>
    <w:rsid w:val="37A86196"/>
    <w:rsid w:val="37B173A7"/>
    <w:rsid w:val="37C94031"/>
    <w:rsid w:val="37CA042E"/>
    <w:rsid w:val="37D0180C"/>
    <w:rsid w:val="37D44549"/>
    <w:rsid w:val="37D77B09"/>
    <w:rsid w:val="37D97EDE"/>
    <w:rsid w:val="37DF2F93"/>
    <w:rsid w:val="37E17820"/>
    <w:rsid w:val="37E76E34"/>
    <w:rsid w:val="37FE02EA"/>
    <w:rsid w:val="380D02B1"/>
    <w:rsid w:val="380F1889"/>
    <w:rsid w:val="38137C9C"/>
    <w:rsid w:val="381F4DE1"/>
    <w:rsid w:val="382B1BDF"/>
    <w:rsid w:val="382E392C"/>
    <w:rsid w:val="38342E90"/>
    <w:rsid w:val="384B7332"/>
    <w:rsid w:val="385056AF"/>
    <w:rsid w:val="38505C1D"/>
    <w:rsid w:val="38593C76"/>
    <w:rsid w:val="3864257F"/>
    <w:rsid w:val="3867375E"/>
    <w:rsid w:val="386A7142"/>
    <w:rsid w:val="38706DCB"/>
    <w:rsid w:val="38761AD8"/>
    <w:rsid w:val="38784056"/>
    <w:rsid w:val="38885FCC"/>
    <w:rsid w:val="388E5848"/>
    <w:rsid w:val="3896426D"/>
    <w:rsid w:val="389C791D"/>
    <w:rsid w:val="38A058F5"/>
    <w:rsid w:val="38A341A7"/>
    <w:rsid w:val="38A75C0A"/>
    <w:rsid w:val="38B624DA"/>
    <w:rsid w:val="38BD31EE"/>
    <w:rsid w:val="38CB3BDF"/>
    <w:rsid w:val="38D33D29"/>
    <w:rsid w:val="38D41CCF"/>
    <w:rsid w:val="38D808BC"/>
    <w:rsid w:val="38E40A5B"/>
    <w:rsid w:val="38F16A28"/>
    <w:rsid w:val="38FA10A5"/>
    <w:rsid w:val="390A2E6E"/>
    <w:rsid w:val="391A3359"/>
    <w:rsid w:val="39243950"/>
    <w:rsid w:val="39285D57"/>
    <w:rsid w:val="39305263"/>
    <w:rsid w:val="394168EE"/>
    <w:rsid w:val="394303B9"/>
    <w:rsid w:val="394B6470"/>
    <w:rsid w:val="395B1104"/>
    <w:rsid w:val="395C6EA8"/>
    <w:rsid w:val="396A49C8"/>
    <w:rsid w:val="39747EC7"/>
    <w:rsid w:val="39872512"/>
    <w:rsid w:val="39A602F9"/>
    <w:rsid w:val="39BD45C8"/>
    <w:rsid w:val="39C2316A"/>
    <w:rsid w:val="39D733F3"/>
    <w:rsid w:val="39D87563"/>
    <w:rsid w:val="39E8110F"/>
    <w:rsid w:val="39F36281"/>
    <w:rsid w:val="39F81192"/>
    <w:rsid w:val="39FD376D"/>
    <w:rsid w:val="39FD6C9C"/>
    <w:rsid w:val="39FF676A"/>
    <w:rsid w:val="3A0224B9"/>
    <w:rsid w:val="3A03424C"/>
    <w:rsid w:val="3A16728B"/>
    <w:rsid w:val="3A16794C"/>
    <w:rsid w:val="3A1F6809"/>
    <w:rsid w:val="3A226969"/>
    <w:rsid w:val="3A286675"/>
    <w:rsid w:val="3A2D64E9"/>
    <w:rsid w:val="3A3F47CE"/>
    <w:rsid w:val="3A4E1C5D"/>
    <w:rsid w:val="3A523735"/>
    <w:rsid w:val="3A557AE4"/>
    <w:rsid w:val="3A5F0BE3"/>
    <w:rsid w:val="3A613D40"/>
    <w:rsid w:val="3A6B0F84"/>
    <w:rsid w:val="3A727435"/>
    <w:rsid w:val="3A813EA6"/>
    <w:rsid w:val="3A94055A"/>
    <w:rsid w:val="3AB00167"/>
    <w:rsid w:val="3ABC496A"/>
    <w:rsid w:val="3AC17E3A"/>
    <w:rsid w:val="3AC4083B"/>
    <w:rsid w:val="3ACB5746"/>
    <w:rsid w:val="3ACD76A7"/>
    <w:rsid w:val="3ACE209E"/>
    <w:rsid w:val="3ACF1A69"/>
    <w:rsid w:val="3AD14283"/>
    <w:rsid w:val="3ADD2B05"/>
    <w:rsid w:val="3AE417E3"/>
    <w:rsid w:val="3AE440AF"/>
    <w:rsid w:val="3AEE0E24"/>
    <w:rsid w:val="3AF16E6C"/>
    <w:rsid w:val="3AF7667E"/>
    <w:rsid w:val="3B0007ED"/>
    <w:rsid w:val="3B100AE6"/>
    <w:rsid w:val="3B113F51"/>
    <w:rsid w:val="3B192990"/>
    <w:rsid w:val="3B253D7E"/>
    <w:rsid w:val="3B2965F0"/>
    <w:rsid w:val="3B2D3716"/>
    <w:rsid w:val="3B307112"/>
    <w:rsid w:val="3B354011"/>
    <w:rsid w:val="3B386133"/>
    <w:rsid w:val="3B3939FB"/>
    <w:rsid w:val="3B3E5BDD"/>
    <w:rsid w:val="3B48093E"/>
    <w:rsid w:val="3B543B9A"/>
    <w:rsid w:val="3B5A2A22"/>
    <w:rsid w:val="3B62292F"/>
    <w:rsid w:val="3B63785C"/>
    <w:rsid w:val="3B707794"/>
    <w:rsid w:val="3B751B9A"/>
    <w:rsid w:val="3B773A0C"/>
    <w:rsid w:val="3B7804A3"/>
    <w:rsid w:val="3B8443B3"/>
    <w:rsid w:val="3B8E2153"/>
    <w:rsid w:val="3B95464E"/>
    <w:rsid w:val="3B9B2072"/>
    <w:rsid w:val="3B9F07E0"/>
    <w:rsid w:val="3BA03B83"/>
    <w:rsid w:val="3BA34296"/>
    <w:rsid w:val="3BA94872"/>
    <w:rsid w:val="3BB20883"/>
    <w:rsid w:val="3BC05BA8"/>
    <w:rsid w:val="3BC34E75"/>
    <w:rsid w:val="3BCB270F"/>
    <w:rsid w:val="3BD96AA6"/>
    <w:rsid w:val="3BDB182F"/>
    <w:rsid w:val="3BDD02BD"/>
    <w:rsid w:val="3BED002E"/>
    <w:rsid w:val="3C012D01"/>
    <w:rsid w:val="3C0429BF"/>
    <w:rsid w:val="3C1618F8"/>
    <w:rsid w:val="3C1A201A"/>
    <w:rsid w:val="3C204D27"/>
    <w:rsid w:val="3C276807"/>
    <w:rsid w:val="3C371D4B"/>
    <w:rsid w:val="3C3865F6"/>
    <w:rsid w:val="3C3B4B9D"/>
    <w:rsid w:val="3C3E4F02"/>
    <w:rsid w:val="3C413C82"/>
    <w:rsid w:val="3C471C36"/>
    <w:rsid w:val="3C4B0140"/>
    <w:rsid w:val="3C4D66ED"/>
    <w:rsid w:val="3C5A1883"/>
    <w:rsid w:val="3C5A6B66"/>
    <w:rsid w:val="3C5D297B"/>
    <w:rsid w:val="3C687D45"/>
    <w:rsid w:val="3C734413"/>
    <w:rsid w:val="3C7537FA"/>
    <w:rsid w:val="3C8620A7"/>
    <w:rsid w:val="3C8F4440"/>
    <w:rsid w:val="3C982C18"/>
    <w:rsid w:val="3C9C64EF"/>
    <w:rsid w:val="3CA734F8"/>
    <w:rsid w:val="3CA95F71"/>
    <w:rsid w:val="3CAD771B"/>
    <w:rsid w:val="3CC16893"/>
    <w:rsid w:val="3CC74223"/>
    <w:rsid w:val="3CC828D0"/>
    <w:rsid w:val="3CCE76D5"/>
    <w:rsid w:val="3CD50970"/>
    <w:rsid w:val="3CDB5F96"/>
    <w:rsid w:val="3CE23F49"/>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A52804"/>
    <w:rsid w:val="3DB34E86"/>
    <w:rsid w:val="3DBC76CC"/>
    <w:rsid w:val="3DCF7004"/>
    <w:rsid w:val="3DDA4B31"/>
    <w:rsid w:val="3DDB67AE"/>
    <w:rsid w:val="3DE90C78"/>
    <w:rsid w:val="3DED0F96"/>
    <w:rsid w:val="3DF95812"/>
    <w:rsid w:val="3DFD28B5"/>
    <w:rsid w:val="3E0E7021"/>
    <w:rsid w:val="3E1D4B24"/>
    <w:rsid w:val="3E204782"/>
    <w:rsid w:val="3E2B1325"/>
    <w:rsid w:val="3E374A6D"/>
    <w:rsid w:val="3E3A04FA"/>
    <w:rsid w:val="3E3B1403"/>
    <w:rsid w:val="3E3D6B96"/>
    <w:rsid w:val="3E441C7D"/>
    <w:rsid w:val="3E490256"/>
    <w:rsid w:val="3E4C47D8"/>
    <w:rsid w:val="3E4E163C"/>
    <w:rsid w:val="3E4E39E8"/>
    <w:rsid w:val="3E4E3E8B"/>
    <w:rsid w:val="3E536679"/>
    <w:rsid w:val="3E55739E"/>
    <w:rsid w:val="3E557A55"/>
    <w:rsid w:val="3E5E28E2"/>
    <w:rsid w:val="3E6C43C8"/>
    <w:rsid w:val="3E7B660F"/>
    <w:rsid w:val="3E8227F0"/>
    <w:rsid w:val="3E8316FA"/>
    <w:rsid w:val="3E900915"/>
    <w:rsid w:val="3E9055C8"/>
    <w:rsid w:val="3E937F82"/>
    <w:rsid w:val="3E9A1443"/>
    <w:rsid w:val="3E9B4B40"/>
    <w:rsid w:val="3EB71AC8"/>
    <w:rsid w:val="3EB93EF6"/>
    <w:rsid w:val="3EC71336"/>
    <w:rsid w:val="3EC85E34"/>
    <w:rsid w:val="3ECF2AAC"/>
    <w:rsid w:val="3ED0424C"/>
    <w:rsid w:val="3ED07B7E"/>
    <w:rsid w:val="3ED16FB1"/>
    <w:rsid w:val="3EDA522E"/>
    <w:rsid w:val="3EE63AC0"/>
    <w:rsid w:val="3EEB4E5A"/>
    <w:rsid w:val="3EF31E7F"/>
    <w:rsid w:val="3EF36DF0"/>
    <w:rsid w:val="3EFB0134"/>
    <w:rsid w:val="3F0110D6"/>
    <w:rsid w:val="3F035EE1"/>
    <w:rsid w:val="3F053EF6"/>
    <w:rsid w:val="3F093188"/>
    <w:rsid w:val="3F173F6B"/>
    <w:rsid w:val="3F1E1DE8"/>
    <w:rsid w:val="3F21268A"/>
    <w:rsid w:val="3F253B0C"/>
    <w:rsid w:val="3F2C04C4"/>
    <w:rsid w:val="3F345272"/>
    <w:rsid w:val="3F374FF9"/>
    <w:rsid w:val="3F3E7C9F"/>
    <w:rsid w:val="3F416B99"/>
    <w:rsid w:val="3F4F5AD7"/>
    <w:rsid w:val="3F6250B6"/>
    <w:rsid w:val="3F643908"/>
    <w:rsid w:val="3F6A0167"/>
    <w:rsid w:val="3F6B75A6"/>
    <w:rsid w:val="3F846BE9"/>
    <w:rsid w:val="3F8C0A49"/>
    <w:rsid w:val="3F8E7DCD"/>
    <w:rsid w:val="3F913853"/>
    <w:rsid w:val="3F9660C3"/>
    <w:rsid w:val="3F9724DD"/>
    <w:rsid w:val="3FA72973"/>
    <w:rsid w:val="3FA827ED"/>
    <w:rsid w:val="3FAA4B03"/>
    <w:rsid w:val="3FB45C58"/>
    <w:rsid w:val="3FC36557"/>
    <w:rsid w:val="3FC956FF"/>
    <w:rsid w:val="3FCA4020"/>
    <w:rsid w:val="3FD13F50"/>
    <w:rsid w:val="3FD858EB"/>
    <w:rsid w:val="3FDC5F31"/>
    <w:rsid w:val="3FE04625"/>
    <w:rsid w:val="3FE324B0"/>
    <w:rsid w:val="3FE86CE8"/>
    <w:rsid w:val="3FF00BEA"/>
    <w:rsid w:val="3FFB0F66"/>
    <w:rsid w:val="3FFF1489"/>
    <w:rsid w:val="40146E6B"/>
    <w:rsid w:val="402C6E5E"/>
    <w:rsid w:val="402D4C90"/>
    <w:rsid w:val="403052F1"/>
    <w:rsid w:val="40321098"/>
    <w:rsid w:val="40330D29"/>
    <w:rsid w:val="40341B69"/>
    <w:rsid w:val="404469FD"/>
    <w:rsid w:val="404638CD"/>
    <w:rsid w:val="404A2717"/>
    <w:rsid w:val="404E779F"/>
    <w:rsid w:val="40522BBD"/>
    <w:rsid w:val="40530E08"/>
    <w:rsid w:val="4059090D"/>
    <w:rsid w:val="40620A2E"/>
    <w:rsid w:val="4065170A"/>
    <w:rsid w:val="406E5CAB"/>
    <w:rsid w:val="40713C35"/>
    <w:rsid w:val="408376F8"/>
    <w:rsid w:val="409B614D"/>
    <w:rsid w:val="40A25054"/>
    <w:rsid w:val="40A325E0"/>
    <w:rsid w:val="40B44E44"/>
    <w:rsid w:val="40B7228C"/>
    <w:rsid w:val="40BD0DA1"/>
    <w:rsid w:val="40C25A3F"/>
    <w:rsid w:val="40CB14EF"/>
    <w:rsid w:val="40CF543F"/>
    <w:rsid w:val="40EC7D18"/>
    <w:rsid w:val="40ED11A0"/>
    <w:rsid w:val="40FA7F84"/>
    <w:rsid w:val="40FD1BF0"/>
    <w:rsid w:val="410765A6"/>
    <w:rsid w:val="41094347"/>
    <w:rsid w:val="41096BC0"/>
    <w:rsid w:val="410A75B6"/>
    <w:rsid w:val="410B452A"/>
    <w:rsid w:val="411023A3"/>
    <w:rsid w:val="411251DD"/>
    <w:rsid w:val="41146D26"/>
    <w:rsid w:val="411D1161"/>
    <w:rsid w:val="413353F1"/>
    <w:rsid w:val="4137558E"/>
    <w:rsid w:val="4146047F"/>
    <w:rsid w:val="41513BC9"/>
    <w:rsid w:val="416B4DCF"/>
    <w:rsid w:val="41735B7F"/>
    <w:rsid w:val="41810E86"/>
    <w:rsid w:val="41850830"/>
    <w:rsid w:val="4185372F"/>
    <w:rsid w:val="419658B5"/>
    <w:rsid w:val="419868AD"/>
    <w:rsid w:val="419D68B4"/>
    <w:rsid w:val="419E60D3"/>
    <w:rsid w:val="41A339F5"/>
    <w:rsid w:val="41A36C7E"/>
    <w:rsid w:val="41A40141"/>
    <w:rsid w:val="41B0543C"/>
    <w:rsid w:val="41B928D7"/>
    <w:rsid w:val="41BA3A2C"/>
    <w:rsid w:val="41BB3AE7"/>
    <w:rsid w:val="41C54A1A"/>
    <w:rsid w:val="41C93F6C"/>
    <w:rsid w:val="41D540E6"/>
    <w:rsid w:val="41D71584"/>
    <w:rsid w:val="41D75714"/>
    <w:rsid w:val="41DD3BC3"/>
    <w:rsid w:val="41DE47A6"/>
    <w:rsid w:val="41E0049A"/>
    <w:rsid w:val="41E974A1"/>
    <w:rsid w:val="41EE2F03"/>
    <w:rsid w:val="41F466FD"/>
    <w:rsid w:val="41F62234"/>
    <w:rsid w:val="42002BC7"/>
    <w:rsid w:val="42026B03"/>
    <w:rsid w:val="420A64B5"/>
    <w:rsid w:val="420D197F"/>
    <w:rsid w:val="42127B33"/>
    <w:rsid w:val="4215519C"/>
    <w:rsid w:val="42187EBE"/>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83283B"/>
    <w:rsid w:val="42882BF7"/>
    <w:rsid w:val="42901043"/>
    <w:rsid w:val="429B5404"/>
    <w:rsid w:val="429F4CDE"/>
    <w:rsid w:val="42A03D98"/>
    <w:rsid w:val="42A2144A"/>
    <w:rsid w:val="42A56A3F"/>
    <w:rsid w:val="42A729F1"/>
    <w:rsid w:val="42A866F4"/>
    <w:rsid w:val="42AD119C"/>
    <w:rsid w:val="42B561EC"/>
    <w:rsid w:val="42B94BC1"/>
    <w:rsid w:val="42C30254"/>
    <w:rsid w:val="42C42A08"/>
    <w:rsid w:val="42C769E7"/>
    <w:rsid w:val="42D064B1"/>
    <w:rsid w:val="42D06B69"/>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F6B54"/>
    <w:rsid w:val="4346543A"/>
    <w:rsid w:val="434B65FD"/>
    <w:rsid w:val="43533E29"/>
    <w:rsid w:val="435B1259"/>
    <w:rsid w:val="435C61C5"/>
    <w:rsid w:val="436263D5"/>
    <w:rsid w:val="437556C4"/>
    <w:rsid w:val="437C4A8F"/>
    <w:rsid w:val="43874CD4"/>
    <w:rsid w:val="439B699F"/>
    <w:rsid w:val="43AF2D32"/>
    <w:rsid w:val="43B76E4F"/>
    <w:rsid w:val="43CF0206"/>
    <w:rsid w:val="43D178FC"/>
    <w:rsid w:val="43D85D6D"/>
    <w:rsid w:val="43EC6F1F"/>
    <w:rsid w:val="43FE44BA"/>
    <w:rsid w:val="440D5045"/>
    <w:rsid w:val="440F6C97"/>
    <w:rsid w:val="44300615"/>
    <w:rsid w:val="44371929"/>
    <w:rsid w:val="443740AF"/>
    <w:rsid w:val="443C61BB"/>
    <w:rsid w:val="44480935"/>
    <w:rsid w:val="444851FA"/>
    <w:rsid w:val="445873A3"/>
    <w:rsid w:val="445E4DEE"/>
    <w:rsid w:val="44640994"/>
    <w:rsid w:val="446B0434"/>
    <w:rsid w:val="44756A66"/>
    <w:rsid w:val="447A21C5"/>
    <w:rsid w:val="447E4EBE"/>
    <w:rsid w:val="447F0CBA"/>
    <w:rsid w:val="448226F3"/>
    <w:rsid w:val="448736FC"/>
    <w:rsid w:val="44957F46"/>
    <w:rsid w:val="44994CF5"/>
    <w:rsid w:val="449E5AEC"/>
    <w:rsid w:val="449F21F7"/>
    <w:rsid w:val="44A75707"/>
    <w:rsid w:val="44CC46BA"/>
    <w:rsid w:val="44DC46EB"/>
    <w:rsid w:val="44E8312D"/>
    <w:rsid w:val="44EA6491"/>
    <w:rsid w:val="44F03F8F"/>
    <w:rsid w:val="44F14ECF"/>
    <w:rsid w:val="451837D5"/>
    <w:rsid w:val="451A120C"/>
    <w:rsid w:val="451C7473"/>
    <w:rsid w:val="45275172"/>
    <w:rsid w:val="45306C84"/>
    <w:rsid w:val="45307C4F"/>
    <w:rsid w:val="45332511"/>
    <w:rsid w:val="453F44DA"/>
    <w:rsid w:val="45412391"/>
    <w:rsid w:val="45412C46"/>
    <w:rsid w:val="45415434"/>
    <w:rsid w:val="454316E5"/>
    <w:rsid w:val="45440AD0"/>
    <w:rsid w:val="45454DB4"/>
    <w:rsid w:val="454A3E13"/>
    <w:rsid w:val="45514AD5"/>
    <w:rsid w:val="4552412E"/>
    <w:rsid w:val="455908C0"/>
    <w:rsid w:val="455F2D1C"/>
    <w:rsid w:val="457002F0"/>
    <w:rsid w:val="45743BE6"/>
    <w:rsid w:val="4575513B"/>
    <w:rsid w:val="45761EDD"/>
    <w:rsid w:val="45773005"/>
    <w:rsid w:val="457875F6"/>
    <w:rsid w:val="457A7286"/>
    <w:rsid w:val="457B06AA"/>
    <w:rsid w:val="457C7D39"/>
    <w:rsid w:val="458667C4"/>
    <w:rsid w:val="458F3F2F"/>
    <w:rsid w:val="458F5163"/>
    <w:rsid w:val="459206E5"/>
    <w:rsid w:val="45940009"/>
    <w:rsid w:val="459405E3"/>
    <w:rsid w:val="459C5A47"/>
    <w:rsid w:val="45A5284F"/>
    <w:rsid w:val="45A82F38"/>
    <w:rsid w:val="45B047D1"/>
    <w:rsid w:val="45B16962"/>
    <w:rsid w:val="45B25F2C"/>
    <w:rsid w:val="45B86B4C"/>
    <w:rsid w:val="45BE6191"/>
    <w:rsid w:val="45BE648C"/>
    <w:rsid w:val="45C661BC"/>
    <w:rsid w:val="45CA082F"/>
    <w:rsid w:val="45CD2126"/>
    <w:rsid w:val="45CD75F1"/>
    <w:rsid w:val="45D2713B"/>
    <w:rsid w:val="45D54658"/>
    <w:rsid w:val="45D958A0"/>
    <w:rsid w:val="45DD738A"/>
    <w:rsid w:val="45E372CD"/>
    <w:rsid w:val="45E72859"/>
    <w:rsid w:val="45F83AA7"/>
    <w:rsid w:val="45FB2D6A"/>
    <w:rsid w:val="460C5979"/>
    <w:rsid w:val="46110AB3"/>
    <w:rsid w:val="46143B66"/>
    <w:rsid w:val="4615371C"/>
    <w:rsid w:val="461B7FD0"/>
    <w:rsid w:val="461C2728"/>
    <w:rsid w:val="461D3EDA"/>
    <w:rsid w:val="462066D5"/>
    <w:rsid w:val="46214325"/>
    <w:rsid w:val="46251EA4"/>
    <w:rsid w:val="463246EC"/>
    <w:rsid w:val="463425D3"/>
    <w:rsid w:val="463A3547"/>
    <w:rsid w:val="463F2211"/>
    <w:rsid w:val="464514F3"/>
    <w:rsid w:val="46486B9C"/>
    <w:rsid w:val="46496045"/>
    <w:rsid w:val="464B28C8"/>
    <w:rsid w:val="464E0973"/>
    <w:rsid w:val="46555DC3"/>
    <w:rsid w:val="46560D65"/>
    <w:rsid w:val="46617DB2"/>
    <w:rsid w:val="46621065"/>
    <w:rsid w:val="46665198"/>
    <w:rsid w:val="46697236"/>
    <w:rsid w:val="46770F8B"/>
    <w:rsid w:val="467C16FA"/>
    <w:rsid w:val="467C28B2"/>
    <w:rsid w:val="46831AE2"/>
    <w:rsid w:val="46885E2A"/>
    <w:rsid w:val="46894B18"/>
    <w:rsid w:val="469448C6"/>
    <w:rsid w:val="46953B12"/>
    <w:rsid w:val="469965DF"/>
    <w:rsid w:val="469A1E62"/>
    <w:rsid w:val="46AB0067"/>
    <w:rsid w:val="46B80AF8"/>
    <w:rsid w:val="46C60C41"/>
    <w:rsid w:val="46CD0AAD"/>
    <w:rsid w:val="46D3223B"/>
    <w:rsid w:val="46D37F0B"/>
    <w:rsid w:val="46D71533"/>
    <w:rsid w:val="46E53335"/>
    <w:rsid w:val="46ED5319"/>
    <w:rsid w:val="46FF5C70"/>
    <w:rsid w:val="47155D89"/>
    <w:rsid w:val="471A29EE"/>
    <w:rsid w:val="473069AF"/>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9F5168"/>
    <w:rsid w:val="47A3609D"/>
    <w:rsid w:val="47B337EE"/>
    <w:rsid w:val="47B52288"/>
    <w:rsid w:val="47C01792"/>
    <w:rsid w:val="47C57A48"/>
    <w:rsid w:val="47D511BD"/>
    <w:rsid w:val="47DB65F6"/>
    <w:rsid w:val="47DD11F5"/>
    <w:rsid w:val="47ED307F"/>
    <w:rsid w:val="48020DE8"/>
    <w:rsid w:val="4808150F"/>
    <w:rsid w:val="480F51A8"/>
    <w:rsid w:val="481C1B4F"/>
    <w:rsid w:val="48256B1B"/>
    <w:rsid w:val="482714E0"/>
    <w:rsid w:val="48282713"/>
    <w:rsid w:val="483914BE"/>
    <w:rsid w:val="484417FA"/>
    <w:rsid w:val="48450ECE"/>
    <w:rsid w:val="484759CD"/>
    <w:rsid w:val="484B14EC"/>
    <w:rsid w:val="485340E7"/>
    <w:rsid w:val="48602710"/>
    <w:rsid w:val="48713351"/>
    <w:rsid w:val="487620DF"/>
    <w:rsid w:val="487A2378"/>
    <w:rsid w:val="48802846"/>
    <w:rsid w:val="488260F9"/>
    <w:rsid w:val="48850157"/>
    <w:rsid w:val="48911A35"/>
    <w:rsid w:val="48916C74"/>
    <w:rsid w:val="48971227"/>
    <w:rsid w:val="48A736CF"/>
    <w:rsid w:val="48A779B9"/>
    <w:rsid w:val="48B116EA"/>
    <w:rsid w:val="48B74C7A"/>
    <w:rsid w:val="48BE32BF"/>
    <w:rsid w:val="48C354EC"/>
    <w:rsid w:val="48C4559B"/>
    <w:rsid w:val="48C71A5A"/>
    <w:rsid w:val="48D429DD"/>
    <w:rsid w:val="48E01C77"/>
    <w:rsid w:val="48E22285"/>
    <w:rsid w:val="48E50D90"/>
    <w:rsid w:val="48EB0D16"/>
    <w:rsid w:val="48FA15CC"/>
    <w:rsid w:val="4916605C"/>
    <w:rsid w:val="491B63DF"/>
    <w:rsid w:val="491D63E9"/>
    <w:rsid w:val="4920610E"/>
    <w:rsid w:val="4932285C"/>
    <w:rsid w:val="4937272B"/>
    <w:rsid w:val="4937722C"/>
    <w:rsid w:val="49384E02"/>
    <w:rsid w:val="49387030"/>
    <w:rsid w:val="493D7C9D"/>
    <w:rsid w:val="493E2F78"/>
    <w:rsid w:val="494049CC"/>
    <w:rsid w:val="49411EAF"/>
    <w:rsid w:val="494D208D"/>
    <w:rsid w:val="494F39D6"/>
    <w:rsid w:val="495217DF"/>
    <w:rsid w:val="49572F75"/>
    <w:rsid w:val="4958367A"/>
    <w:rsid w:val="495A044A"/>
    <w:rsid w:val="496D01F5"/>
    <w:rsid w:val="497206BF"/>
    <w:rsid w:val="497C7C92"/>
    <w:rsid w:val="498817B3"/>
    <w:rsid w:val="498A16CD"/>
    <w:rsid w:val="499C7517"/>
    <w:rsid w:val="49A14359"/>
    <w:rsid w:val="49A33C27"/>
    <w:rsid w:val="49A750B5"/>
    <w:rsid w:val="49AB1A6B"/>
    <w:rsid w:val="49B358F8"/>
    <w:rsid w:val="49BE07DA"/>
    <w:rsid w:val="49C62636"/>
    <w:rsid w:val="49C84AA0"/>
    <w:rsid w:val="49CE3923"/>
    <w:rsid w:val="49CF11BE"/>
    <w:rsid w:val="49D7694D"/>
    <w:rsid w:val="49E234CC"/>
    <w:rsid w:val="49EC3531"/>
    <w:rsid w:val="49F152D3"/>
    <w:rsid w:val="49F8312B"/>
    <w:rsid w:val="4A0244D3"/>
    <w:rsid w:val="4A0B3920"/>
    <w:rsid w:val="4A255046"/>
    <w:rsid w:val="4A262CA0"/>
    <w:rsid w:val="4A276433"/>
    <w:rsid w:val="4A2A6DB1"/>
    <w:rsid w:val="4A2E1525"/>
    <w:rsid w:val="4A3D3E88"/>
    <w:rsid w:val="4A4A538E"/>
    <w:rsid w:val="4A5A756D"/>
    <w:rsid w:val="4A5E7C7E"/>
    <w:rsid w:val="4A722B4C"/>
    <w:rsid w:val="4A785772"/>
    <w:rsid w:val="4A820501"/>
    <w:rsid w:val="4A842E43"/>
    <w:rsid w:val="4A845C50"/>
    <w:rsid w:val="4A89105B"/>
    <w:rsid w:val="4AA341CC"/>
    <w:rsid w:val="4AA939F9"/>
    <w:rsid w:val="4AB21F2E"/>
    <w:rsid w:val="4AB57F7C"/>
    <w:rsid w:val="4AC13295"/>
    <w:rsid w:val="4AC31003"/>
    <w:rsid w:val="4AC40F4C"/>
    <w:rsid w:val="4ACC44B7"/>
    <w:rsid w:val="4AD25F33"/>
    <w:rsid w:val="4ADD641F"/>
    <w:rsid w:val="4ADF3B16"/>
    <w:rsid w:val="4AE072CB"/>
    <w:rsid w:val="4AE93159"/>
    <w:rsid w:val="4AE951C1"/>
    <w:rsid w:val="4AF02EA1"/>
    <w:rsid w:val="4AF86E0A"/>
    <w:rsid w:val="4B162612"/>
    <w:rsid w:val="4B174032"/>
    <w:rsid w:val="4B227C49"/>
    <w:rsid w:val="4B250CF8"/>
    <w:rsid w:val="4B2873FD"/>
    <w:rsid w:val="4B2E0668"/>
    <w:rsid w:val="4B357ECA"/>
    <w:rsid w:val="4B3C6133"/>
    <w:rsid w:val="4B3D4DE9"/>
    <w:rsid w:val="4B6648CE"/>
    <w:rsid w:val="4B6747B3"/>
    <w:rsid w:val="4B7343CD"/>
    <w:rsid w:val="4B7727E1"/>
    <w:rsid w:val="4B7C4100"/>
    <w:rsid w:val="4B830F9B"/>
    <w:rsid w:val="4B8A54FE"/>
    <w:rsid w:val="4B8F2DD0"/>
    <w:rsid w:val="4B9B06E8"/>
    <w:rsid w:val="4B9B0C47"/>
    <w:rsid w:val="4B9D4011"/>
    <w:rsid w:val="4BB36BDD"/>
    <w:rsid w:val="4BB60507"/>
    <w:rsid w:val="4BC32290"/>
    <w:rsid w:val="4BD0339A"/>
    <w:rsid w:val="4BD41FD1"/>
    <w:rsid w:val="4BF21A31"/>
    <w:rsid w:val="4BF23C29"/>
    <w:rsid w:val="4BF32495"/>
    <w:rsid w:val="4BF64358"/>
    <w:rsid w:val="4BF838F0"/>
    <w:rsid w:val="4BF94548"/>
    <w:rsid w:val="4BFA3FA2"/>
    <w:rsid w:val="4C065916"/>
    <w:rsid w:val="4C1269A9"/>
    <w:rsid w:val="4C1A51CC"/>
    <w:rsid w:val="4C2910DF"/>
    <w:rsid w:val="4C2B4DDD"/>
    <w:rsid w:val="4C3743A5"/>
    <w:rsid w:val="4C3C6B23"/>
    <w:rsid w:val="4C521E0D"/>
    <w:rsid w:val="4C562817"/>
    <w:rsid w:val="4C562920"/>
    <w:rsid w:val="4C5D1F92"/>
    <w:rsid w:val="4C603F16"/>
    <w:rsid w:val="4C6262E0"/>
    <w:rsid w:val="4C6703A3"/>
    <w:rsid w:val="4C6A0682"/>
    <w:rsid w:val="4C6D7518"/>
    <w:rsid w:val="4C824411"/>
    <w:rsid w:val="4C9112B9"/>
    <w:rsid w:val="4C923A72"/>
    <w:rsid w:val="4C9B5631"/>
    <w:rsid w:val="4CB836A9"/>
    <w:rsid w:val="4CB96B0F"/>
    <w:rsid w:val="4CBD582C"/>
    <w:rsid w:val="4CC129C9"/>
    <w:rsid w:val="4CC82D24"/>
    <w:rsid w:val="4CD84F4C"/>
    <w:rsid w:val="4CE34E9F"/>
    <w:rsid w:val="4CE74FE6"/>
    <w:rsid w:val="4CF52D94"/>
    <w:rsid w:val="4CFC009E"/>
    <w:rsid w:val="4CFE5028"/>
    <w:rsid w:val="4D0B5968"/>
    <w:rsid w:val="4D19368B"/>
    <w:rsid w:val="4D1F5F05"/>
    <w:rsid w:val="4D351828"/>
    <w:rsid w:val="4D3E74CD"/>
    <w:rsid w:val="4D462159"/>
    <w:rsid w:val="4D47409F"/>
    <w:rsid w:val="4D525BE3"/>
    <w:rsid w:val="4D566017"/>
    <w:rsid w:val="4D6022FC"/>
    <w:rsid w:val="4D695FF9"/>
    <w:rsid w:val="4D7D3EFB"/>
    <w:rsid w:val="4D866DE7"/>
    <w:rsid w:val="4D8B0123"/>
    <w:rsid w:val="4D931B47"/>
    <w:rsid w:val="4DAF14C5"/>
    <w:rsid w:val="4DB76536"/>
    <w:rsid w:val="4DB9067A"/>
    <w:rsid w:val="4DBB4DF3"/>
    <w:rsid w:val="4DC020EA"/>
    <w:rsid w:val="4DC605B6"/>
    <w:rsid w:val="4DCB146F"/>
    <w:rsid w:val="4DD732D2"/>
    <w:rsid w:val="4DEC0985"/>
    <w:rsid w:val="4DF85277"/>
    <w:rsid w:val="4E012D36"/>
    <w:rsid w:val="4E024AB6"/>
    <w:rsid w:val="4E0538A3"/>
    <w:rsid w:val="4E0E6818"/>
    <w:rsid w:val="4E27683A"/>
    <w:rsid w:val="4E321D35"/>
    <w:rsid w:val="4E365B99"/>
    <w:rsid w:val="4E397241"/>
    <w:rsid w:val="4E4B2B03"/>
    <w:rsid w:val="4E4C50A3"/>
    <w:rsid w:val="4E510698"/>
    <w:rsid w:val="4E576363"/>
    <w:rsid w:val="4E5D49B1"/>
    <w:rsid w:val="4E635567"/>
    <w:rsid w:val="4E674786"/>
    <w:rsid w:val="4E742982"/>
    <w:rsid w:val="4E7F1E8F"/>
    <w:rsid w:val="4E7F5AF4"/>
    <w:rsid w:val="4E862481"/>
    <w:rsid w:val="4E9C0636"/>
    <w:rsid w:val="4E9D29FB"/>
    <w:rsid w:val="4EA22C4C"/>
    <w:rsid w:val="4EA30DB6"/>
    <w:rsid w:val="4EA7341F"/>
    <w:rsid w:val="4EB545E2"/>
    <w:rsid w:val="4EBE1988"/>
    <w:rsid w:val="4EDB58B2"/>
    <w:rsid w:val="4EDD1619"/>
    <w:rsid w:val="4EE925CE"/>
    <w:rsid w:val="4EEA44EB"/>
    <w:rsid w:val="4EEB1A94"/>
    <w:rsid w:val="4EEF2E30"/>
    <w:rsid w:val="4EF24828"/>
    <w:rsid w:val="4EFB7E91"/>
    <w:rsid w:val="4EFE7F59"/>
    <w:rsid w:val="4F1137C6"/>
    <w:rsid w:val="4F285975"/>
    <w:rsid w:val="4F2A7BF3"/>
    <w:rsid w:val="4F2E2624"/>
    <w:rsid w:val="4F38184E"/>
    <w:rsid w:val="4F4E1077"/>
    <w:rsid w:val="4F546156"/>
    <w:rsid w:val="4F5F4D37"/>
    <w:rsid w:val="4F635510"/>
    <w:rsid w:val="4F6E70CD"/>
    <w:rsid w:val="4F7C5525"/>
    <w:rsid w:val="4F7E74BF"/>
    <w:rsid w:val="4F844A99"/>
    <w:rsid w:val="4F863785"/>
    <w:rsid w:val="4F9214FD"/>
    <w:rsid w:val="4F94662C"/>
    <w:rsid w:val="4FB00163"/>
    <w:rsid w:val="4FB208E7"/>
    <w:rsid w:val="4FBA3D69"/>
    <w:rsid w:val="4FBF4BE3"/>
    <w:rsid w:val="4FD97CFB"/>
    <w:rsid w:val="4FDA6E7F"/>
    <w:rsid w:val="4FDD4CC1"/>
    <w:rsid w:val="4FDD7677"/>
    <w:rsid w:val="4FE30332"/>
    <w:rsid w:val="4FE70BB4"/>
    <w:rsid w:val="4FE73C01"/>
    <w:rsid w:val="4FE87C31"/>
    <w:rsid w:val="4FF14DCF"/>
    <w:rsid w:val="4FF85C93"/>
    <w:rsid w:val="50070D86"/>
    <w:rsid w:val="500815B6"/>
    <w:rsid w:val="50096478"/>
    <w:rsid w:val="500B39BC"/>
    <w:rsid w:val="500E7DCA"/>
    <w:rsid w:val="50163074"/>
    <w:rsid w:val="501939DF"/>
    <w:rsid w:val="502173F8"/>
    <w:rsid w:val="5022123F"/>
    <w:rsid w:val="502B7315"/>
    <w:rsid w:val="5035213F"/>
    <w:rsid w:val="503E570B"/>
    <w:rsid w:val="503E79CC"/>
    <w:rsid w:val="503F32CF"/>
    <w:rsid w:val="5041152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9C6B0B"/>
    <w:rsid w:val="50A649F5"/>
    <w:rsid w:val="50A84A74"/>
    <w:rsid w:val="50AB5EB6"/>
    <w:rsid w:val="50AE6FE2"/>
    <w:rsid w:val="50B16618"/>
    <w:rsid w:val="50BB6306"/>
    <w:rsid w:val="50C4192A"/>
    <w:rsid w:val="50C816FE"/>
    <w:rsid w:val="50CD2E4B"/>
    <w:rsid w:val="50CE0462"/>
    <w:rsid w:val="50DE34BD"/>
    <w:rsid w:val="50F66F3D"/>
    <w:rsid w:val="50F8688B"/>
    <w:rsid w:val="50FC4E36"/>
    <w:rsid w:val="50FD7FD8"/>
    <w:rsid w:val="51046E4F"/>
    <w:rsid w:val="5105169B"/>
    <w:rsid w:val="51062881"/>
    <w:rsid w:val="510861B3"/>
    <w:rsid w:val="510956BD"/>
    <w:rsid w:val="51230220"/>
    <w:rsid w:val="5125367C"/>
    <w:rsid w:val="51471753"/>
    <w:rsid w:val="514C513A"/>
    <w:rsid w:val="514E4912"/>
    <w:rsid w:val="515400FF"/>
    <w:rsid w:val="515D735D"/>
    <w:rsid w:val="51623850"/>
    <w:rsid w:val="517418CD"/>
    <w:rsid w:val="51781A83"/>
    <w:rsid w:val="51802CA0"/>
    <w:rsid w:val="51867298"/>
    <w:rsid w:val="51894D69"/>
    <w:rsid w:val="518C5985"/>
    <w:rsid w:val="518D21E1"/>
    <w:rsid w:val="51930297"/>
    <w:rsid w:val="51953936"/>
    <w:rsid w:val="519E116A"/>
    <w:rsid w:val="51A2793A"/>
    <w:rsid w:val="51AD2B9C"/>
    <w:rsid w:val="51BA0CB7"/>
    <w:rsid w:val="51C41A0B"/>
    <w:rsid w:val="51C44E20"/>
    <w:rsid w:val="51CF2D5C"/>
    <w:rsid w:val="51D129CA"/>
    <w:rsid w:val="51D175BA"/>
    <w:rsid w:val="51D93F8A"/>
    <w:rsid w:val="51DA6E39"/>
    <w:rsid w:val="51DC16DA"/>
    <w:rsid w:val="51E5046A"/>
    <w:rsid w:val="52020133"/>
    <w:rsid w:val="520222D8"/>
    <w:rsid w:val="52272B85"/>
    <w:rsid w:val="52284E31"/>
    <w:rsid w:val="523E09B5"/>
    <w:rsid w:val="524D1C35"/>
    <w:rsid w:val="52655C3E"/>
    <w:rsid w:val="52680547"/>
    <w:rsid w:val="52687B2A"/>
    <w:rsid w:val="526E0E82"/>
    <w:rsid w:val="527901C6"/>
    <w:rsid w:val="528A0579"/>
    <w:rsid w:val="528F4A24"/>
    <w:rsid w:val="52944BB6"/>
    <w:rsid w:val="52A24532"/>
    <w:rsid w:val="52B3363A"/>
    <w:rsid w:val="52B668EB"/>
    <w:rsid w:val="52B91E49"/>
    <w:rsid w:val="52C13823"/>
    <w:rsid w:val="52C4763C"/>
    <w:rsid w:val="52DE691D"/>
    <w:rsid w:val="52E04D27"/>
    <w:rsid w:val="52E16254"/>
    <w:rsid w:val="52E501E0"/>
    <w:rsid w:val="52ED0C96"/>
    <w:rsid w:val="52F53FAD"/>
    <w:rsid w:val="53061721"/>
    <w:rsid w:val="530C0E6B"/>
    <w:rsid w:val="530D1C98"/>
    <w:rsid w:val="53103C9C"/>
    <w:rsid w:val="531A5380"/>
    <w:rsid w:val="531F0245"/>
    <w:rsid w:val="53227B62"/>
    <w:rsid w:val="532F77EA"/>
    <w:rsid w:val="53367575"/>
    <w:rsid w:val="533933AA"/>
    <w:rsid w:val="533947ED"/>
    <w:rsid w:val="533B7F54"/>
    <w:rsid w:val="535009E1"/>
    <w:rsid w:val="535321C1"/>
    <w:rsid w:val="53650168"/>
    <w:rsid w:val="536662B9"/>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E92771"/>
    <w:rsid w:val="53F16BC7"/>
    <w:rsid w:val="53FE7128"/>
    <w:rsid w:val="541E7DB0"/>
    <w:rsid w:val="54201800"/>
    <w:rsid w:val="54247F22"/>
    <w:rsid w:val="542C29CD"/>
    <w:rsid w:val="542F1551"/>
    <w:rsid w:val="54321466"/>
    <w:rsid w:val="54381756"/>
    <w:rsid w:val="545524FD"/>
    <w:rsid w:val="545750B7"/>
    <w:rsid w:val="545A1EBF"/>
    <w:rsid w:val="545D081C"/>
    <w:rsid w:val="54727478"/>
    <w:rsid w:val="54835E71"/>
    <w:rsid w:val="5496423C"/>
    <w:rsid w:val="5497051D"/>
    <w:rsid w:val="54A00567"/>
    <w:rsid w:val="54A0619E"/>
    <w:rsid w:val="54A068B8"/>
    <w:rsid w:val="54AB65DC"/>
    <w:rsid w:val="54B06F11"/>
    <w:rsid w:val="54B34707"/>
    <w:rsid w:val="54B3617B"/>
    <w:rsid w:val="54B56DF4"/>
    <w:rsid w:val="54B93943"/>
    <w:rsid w:val="54BE5578"/>
    <w:rsid w:val="54BF52B5"/>
    <w:rsid w:val="54D202CA"/>
    <w:rsid w:val="54D54E59"/>
    <w:rsid w:val="54DD41DB"/>
    <w:rsid w:val="54E0050A"/>
    <w:rsid w:val="54E358FF"/>
    <w:rsid w:val="54ED3D78"/>
    <w:rsid w:val="54F52BA3"/>
    <w:rsid w:val="54F54E04"/>
    <w:rsid w:val="54FA5E39"/>
    <w:rsid w:val="550236A7"/>
    <w:rsid w:val="550B4121"/>
    <w:rsid w:val="550D5CFC"/>
    <w:rsid w:val="550F3357"/>
    <w:rsid w:val="55126CC5"/>
    <w:rsid w:val="55197997"/>
    <w:rsid w:val="551B6FFD"/>
    <w:rsid w:val="551B7F0A"/>
    <w:rsid w:val="551C7446"/>
    <w:rsid w:val="55250F5E"/>
    <w:rsid w:val="55276C59"/>
    <w:rsid w:val="552864FA"/>
    <w:rsid w:val="552A6B56"/>
    <w:rsid w:val="552D2E70"/>
    <w:rsid w:val="5532385A"/>
    <w:rsid w:val="55371339"/>
    <w:rsid w:val="55381D42"/>
    <w:rsid w:val="55401B14"/>
    <w:rsid w:val="554748F2"/>
    <w:rsid w:val="554D414C"/>
    <w:rsid w:val="554E7279"/>
    <w:rsid w:val="55514205"/>
    <w:rsid w:val="55594E94"/>
    <w:rsid w:val="55594FFB"/>
    <w:rsid w:val="55637CEB"/>
    <w:rsid w:val="55677DDA"/>
    <w:rsid w:val="557225B1"/>
    <w:rsid w:val="55757FB9"/>
    <w:rsid w:val="558721D9"/>
    <w:rsid w:val="55884237"/>
    <w:rsid w:val="558C7FAA"/>
    <w:rsid w:val="55900510"/>
    <w:rsid w:val="559147DD"/>
    <w:rsid w:val="55947881"/>
    <w:rsid w:val="559E7237"/>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C1712"/>
    <w:rsid w:val="560D5F48"/>
    <w:rsid w:val="56103377"/>
    <w:rsid w:val="56106284"/>
    <w:rsid w:val="5632642A"/>
    <w:rsid w:val="56375B61"/>
    <w:rsid w:val="563E3C6E"/>
    <w:rsid w:val="564944F4"/>
    <w:rsid w:val="564D4C5B"/>
    <w:rsid w:val="564E5820"/>
    <w:rsid w:val="56594C9E"/>
    <w:rsid w:val="56630C00"/>
    <w:rsid w:val="56687250"/>
    <w:rsid w:val="567739D2"/>
    <w:rsid w:val="56775A0A"/>
    <w:rsid w:val="567F6E75"/>
    <w:rsid w:val="5686536D"/>
    <w:rsid w:val="568B1DB1"/>
    <w:rsid w:val="569600BA"/>
    <w:rsid w:val="56A55214"/>
    <w:rsid w:val="56A67978"/>
    <w:rsid w:val="56AC63C5"/>
    <w:rsid w:val="56C008D5"/>
    <w:rsid w:val="56C1700B"/>
    <w:rsid w:val="56C34302"/>
    <w:rsid w:val="56C35508"/>
    <w:rsid w:val="56D25618"/>
    <w:rsid w:val="56D5793F"/>
    <w:rsid w:val="56D7644B"/>
    <w:rsid w:val="56E84A97"/>
    <w:rsid w:val="56FB2A68"/>
    <w:rsid w:val="56FE1A50"/>
    <w:rsid w:val="57011F3E"/>
    <w:rsid w:val="5705646B"/>
    <w:rsid w:val="57060649"/>
    <w:rsid w:val="571A4344"/>
    <w:rsid w:val="572657E3"/>
    <w:rsid w:val="572D6499"/>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17A95"/>
    <w:rsid w:val="57A33734"/>
    <w:rsid w:val="57AB6ADD"/>
    <w:rsid w:val="57AC2A28"/>
    <w:rsid w:val="57B7178E"/>
    <w:rsid w:val="57B76EED"/>
    <w:rsid w:val="57BD72A7"/>
    <w:rsid w:val="57BE5838"/>
    <w:rsid w:val="57D16146"/>
    <w:rsid w:val="57D82354"/>
    <w:rsid w:val="57EB3AC0"/>
    <w:rsid w:val="57EB6DC4"/>
    <w:rsid w:val="57EF6043"/>
    <w:rsid w:val="57F829FA"/>
    <w:rsid w:val="57FC07D9"/>
    <w:rsid w:val="57FF6992"/>
    <w:rsid w:val="580B408B"/>
    <w:rsid w:val="580F1B21"/>
    <w:rsid w:val="58191E63"/>
    <w:rsid w:val="581B7E79"/>
    <w:rsid w:val="5824182F"/>
    <w:rsid w:val="58500F22"/>
    <w:rsid w:val="58527FAB"/>
    <w:rsid w:val="58587379"/>
    <w:rsid w:val="58685433"/>
    <w:rsid w:val="586D57A3"/>
    <w:rsid w:val="58774DB2"/>
    <w:rsid w:val="587917A0"/>
    <w:rsid w:val="587A4288"/>
    <w:rsid w:val="587B662F"/>
    <w:rsid w:val="5880052B"/>
    <w:rsid w:val="588E76C9"/>
    <w:rsid w:val="589571D3"/>
    <w:rsid w:val="58A176F1"/>
    <w:rsid w:val="58AD27D9"/>
    <w:rsid w:val="58AD42B1"/>
    <w:rsid w:val="58B169A2"/>
    <w:rsid w:val="58B6512E"/>
    <w:rsid w:val="58B9636C"/>
    <w:rsid w:val="58C37133"/>
    <w:rsid w:val="58C93046"/>
    <w:rsid w:val="58D36BCB"/>
    <w:rsid w:val="58D643B4"/>
    <w:rsid w:val="58D7351E"/>
    <w:rsid w:val="58E6349C"/>
    <w:rsid w:val="58EF63EE"/>
    <w:rsid w:val="590317F0"/>
    <w:rsid w:val="59075000"/>
    <w:rsid w:val="59143827"/>
    <w:rsid w:val="591878D4"/>
    <w:rsid w:val="592A35DE"/>
    <w:rsid w:val="59302D11"/>
    <w:rsid w:val="593559FD"/>
    <w:rsid w:val="594079B2"/>
    <w:rsid w:val="59410047"/>
    <w:rsid w:val="59444905"/>
    <w:rsid w:val="594B10BF"/>
    <w:rsid w:val="594E7013"/>
    <w:rsid w:val="596726D9"/>
    <w:rsid w:val="596A688E"/>
    <w:rsid w:val="59835A6C"/>
    <w:rsid w:val="59843114"/>
    <w:rsid w:val="5987482A"/>
    <w:rsid w:val="598C6F19"/>
    <w:rsid w:val="59931352"/>
    <w:rsid w:val="599C49A8"/>
    <w:rsid w:val="59A04DAD"/>
    <w:rsid w:val="59A36725"/>
    <w:rsid w:val="59B176A7"/>
    <w:rsid w:val="59B21BF9"/>
    <w:rsid w:val="59B5338A"/>
    <w:rsid w:val="59BA46A2"/>
    <w:rsid w:val="59BB4EA3"/>
    <w:rsid w:val="59CF48AD"/>
    <w:rsid w:val="59D27FB3"/>
    <w:rsid w:val="59E9525B"/>
    <w:rsid w:val="59F01484"/>
    <w:rsid w:val="59F27B21"/>
    <w:rsid w:val="59F55223"/>
    <w:rsid w:val="59F70BAF"/>
    <w:rsid w:val="5A023A34"/>
    <w:rsid w:val="5A070890"/>
    <w:rsid w:val="5A0F52D4"/>
    <w:rsid w:val="5A1A17BB"/>
    <w:rsid w:val="5A297D0D"/>
    <w:rsid w:val="5A3C0F08"/>
    <w:rsid w:val="5A3E5B83"/>
    <w:rsid w:val="5A4440A8"/>
    <w:rsid w:val="5A4B1440"/>
    <w:rsid w:val="5A4B5B7A"/>
    <w:rsid w:val="5A514340"/>
    <w:rsid w:val="5A5663A3"/>
    <w:rsid w:val="5A571746"/>
    <w:rsid w:val="5A6253E3"/>
    <w:rsid w:val="5A6667DB"/>
    <w:rsid w:val="5A8344FC"/>
    <w:rsid w:val="5A8E6670"/>
    <w:rsid w:val="5A8E7336"/>
    <w:rsid w:val="5A912613"/>
    <w:rsid w:val="5A923F1B"/>
    <w:rsid w:val="5A9245E9"/>
    <w:rsid w:val="5A953D41"/>
    <w:rsid w:val="5A9A4D4B"/>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B141085"/>
    <w:rsid w:val="5B28192B"/>
    <w:rsid w:val="5B313170"/>
    <w:rsid w:val="5B32616A"/>
    <w:rsid w:val="5B342BAD"/>
    <w:rsid w:val="5B4007EF"/>
    <w:rsid w:val="5B495A92"/>
    <w:rsid w:val="5B4D1F7C"/>
    <w:rsid w:val="5B564EFB"/>
    <w:rsid w:val="5B583BEB"/>
    <w:rsid w:val="5B6667A3"/>
    <w:rsid w:val="5B66707B"/>
    <w:rsid w:val="5B673066"/>
    <w:rsid w:val="5B690719"/>
    <w:rsid w:val="5B6A48A8"/>
    <w:rsid w:val="5B731FA9"/>
    <w:rsid w:val="5B785E83"/>
    <w:rsid w:val="5B7C1CD1"/>
    <w:rsid w:val="5B882E2D"/>
    <w:rsid w:val="5B9004A9"/>
    <w:rsid w:val="5B907C6C"/>
    <w:rsid w:val="5B9251EF"/>
    <w:rsid w:val="5BAA1391"/>
    <w:rsid w:val="5BAB5BC4"/>
    <w:rsid w:val="5BB20B74"/>
    <w:rsid w:val="5BBF47F8"/>
    <w:rsid w:val="5BC677D8"/>
    <w:rsid w:val="5BC82981"/>
    <w:rsid w:val="5BE15701"/>
    <w:rsid w:val="5BE36F91"/>
    <w:rsid w:val="5BE6235A"/>
    <w:rsid w:val="5BEB0120"/>
    <w:rsid w:val="5BEC175C"/>
    <w:rsid w:val="5C097C4E"/>
    <w:rsid w:val="5C0D717D"/>
    <w:rsid w:val="5C126D3C"/>
    <w:rsid w:val="5C1A3A93"/>
    <w:rsid w:val="5C1C16CF"/>
    <w:rsid w:val="5C235386"/>
    <w:rsid w:val="5C277EFF"/>
    <w:rsid w:val="5C3A76D7"/>
    <w:rsid w:val="5C3B6CFC"/>
    <w:rsid w:val="5C3C1AE5"/>
    <w:rsid w:val="5C431918"/>
    <w:rsid w:val="5C4C2CF4"/>
    <w:rsid w:val="5C5A7F10"/>
    <w:rsid w:val="5C6422CD"/>
    <w:rsid w:val="5C6B1600"/>
    <w:rsid w:val="5C7D70D1"/>
    <w:rsid w:val="5C8542A8"/>
    <w:rsid w:val="5C9E7FC4"/>
    <w:rsid w:val="5C9F41E0"/>
    <w:rsid w:val="5CA6294E"/>
    <w:rsid w:val="5CA92DD2"/>
    <w:rsid w:val="5CAC6214"/>
    <w:rsid w:val="5CAF2FDA"/>
    <w:rsid w:val="5CBA57B4"/>
    <w:rsid w:val="5CDB241D"/>
    <w:rsid w:val="5CDB3358"/>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8584C"/>
    <w:rsid w:val="5D2F4802"/>
    <w:rsid w:val="5D3444E6"/>
    <w:rsid w:val="5D3F0BDF"/>
    <w:rsid w:val="5D436740"/>
    <w:rsid w:val="5D4A529A"/>
    <w:rsid w:val="5D5B7098"/>
    <w:rsid w:val="5D634782"/>
    <w:rsid w:val="5D6406D7"/>
    <w:rsid w:val="5D654194"/>
    <w:rsid w:val="5D676A87"/>
    <w:rsid w:val="5D6A7C12"/>
    <w:rsid w:val="5D6C741F"/>
    <w:rsid w:val="5D6E1B86"/>
    <w:rsid w:val="5D725A84"/>
    <w:rsid w:val="5D767D63"/>
    <w:rsid w:val="5D787085"/>
    <w:rsid w:val="5D8A2CFF"/>
    <w:rsid w:val="5D903810"/>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DD17E5"/>
    <w:rsid w:val="5DE4727B"/>
    <w:rsid w:val="5DE83E9E"/>
    <w:rsid w:val="5DEB2EC0"/>
    <w:rsid w:val="5DEC05A1"/>
    <w:rsid w:val="5DEE0433"/>
    <w:rsid w:val="5DFD51DB"/>
    <w:rsid w:val="5E0B0848"/>
    <w:rsid w:val="5E0F1B60"/>
    <w:rsid w:val="5E104696"/>
    <w:rsid w:val="5E12464A"/>
    <w:rsid w:val="5E1D4A67"/>
    <w:rsid w:val="5E1F2E4C"/>
    <w:rsid w:val="5E237029"/>
    <w:rsid w:val="5E357175"/>
    <w:rsid w:val="5E3A3BD1"/>
    <w:rsid w:val="5E40628A"/>
    <w:rsid w:val="5E4F1C2F"/>
    <w:rsid w:val="5E5203B8"/>
    <w:rsid w:val="5E5D7D0E"/>
    <w:rsid w:val="5E64345A"/>
    <w:rsid w:val="5E683FF3"/>
    <w:rsid w:val="5E6A5399"/>
    <w:rsid w:val="5E704921"/>
    <w:rsid w:val="5E71373F"/>
    <w:rsid w:val="5E717191"/>
    <w:rsid w:val="5E761147"/>
    <w:rsid w:val="5E812F0A"/>
    <w:rsid w:val="5E830708"/>
    <w:rsid w:val="5E831398"/>
    <w:rsid w:val="5E84504D"/>
    <w:rsid w:val="5E85633A"/>
    <w:rsid w:val="5E884F3F"/>
    <w:rsid w:val="5E921A45"/>
    <w:rsid w:val="5E975993"/>
    <w:rsid w:val="5E9A0F1F"/>
    <w:rsid w:val="5EA627AF"/>
    <w:rsid w:val="5EB07A41"/>
    <w:rsid w:val="5EB51FDE"/>
    <w:rsid w:val="5EBA4472"/>
    <w:rsid w:val="5EC05259"/>
    <w:rsid w:val="5EC3227D"/>
    <w:rsid w:val="5ECA3D37"/>
    <w:rsid w:val="5EE153F8"/>
    <w:rsid w:val="5EE8115A"/>
    <w:rsid w:val="5EED7893"/>
    <w:rsid w:val="5EFB2125"/>
    <w:rsid w:val="5EFB6F0A"/>
    <w:rsid w:val="5F0279C4"/>
    <w:rsid w:val="5F043765"/>
    <w:rsid w:val="5F0A3A61"/>
    <w:rsid w:val="5F1E1D1D"/>
    <w:rsid w:val="5F28007C"/>
    <w:rsid w:val="5F3370DF"/>
    <w:rsid w:val="5F351942"/>
    <w:rsid w:val="5F395DFE"/>
    <w:rsid w:val="5F3B6ED3"/>
    <w:rsid w:val="5F45020C"/>
    <w:rsid w:val="5F495527"/>
    <w:rsid w:val="5F5D4AA6"/>
    <w:rsid w:val="5F683B6E"/>
    <w:rsid w:val="5F78300A"/>
    <w:rsid w:val="5F875C0C"/>
    <w:rsid w:val="5F8F0B9E"/>
    <w:rsid w:val="5F8F267A"/>
    <w:rsid w:val="5F9B2DD0"/>
    <w:rsid w:val="5FA312F1"/>
    <w:rsid w:val="5FA516DE"/>
    <w:rsid w:val="5FB30BD5"/>
    <w:rsid w:val="5FB7185B"/>
    <w:rsid w:val="5FB94C48"/>
    <w:rsid w:val="5FBC1D7A"/>
    <w:rsid w:val="5FCB54E2"/>
    <w:rsid w:val="5FDB52C1"/>
    <w:rsid w:val="5FDE0AD6"/>
    <w:rsid w:val="5FDE327E"/>
    <w:rsid w:val="5FE51B4C"/>
    <w:rsid w:val="5FE80C27"/>
    <w:rsid w:val="5FF37587"/>
    <w:rsid w:val="5FF545E2"/>
    <w:rsid w:val="5FFE57B7"/>
    <w:rsid w:val="60060CD5"/>
    <w:rsid w:val="60085AA3"/>
    <w:rsid w:val="600E362B"/>
    <w:rsid w:val="600F12A5"/>
    <w:rsid w:val="60183392"/>
    <w:rsid w:val="601A4CB1"/>
    <w:rsid w:val="601B56CB"/>
    <w:rsid w:val="602C236D"/>
    <w:rsid w:val="603262EF"/>
    <w:rsid w:val="603514E5"/>
    <w:rsid w:val="603967D7"/>
    <w:rsid w:val="603D3325"/>
    <w:rsid w:val="604040A8"/>
    <w:rsid w:val="60443CFE"/>
    <w:rsid w:val="60470CE3"/>
    <w:rsid w:val="604743E7"/>
    <w:rsid w:val="6057218F"/>
    <w:rsid w:val="605F4F5D"/>
    <w:rsid w:val="606711B4"/>
    <w:rsid w:val="60673C40"/>
    <w:rsid w:val="606A52D4"/>
    <w:rsid w:val="606E6827"/>
    <w:rsid w:val="607C3753"/>
    <w:rsid w:val="60895CED"/>
    <w:rsid w:val="608A554D"/>
    <w:rsid w:val="608D1D4E"/>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E06DEB"/>
    <w:rsid w:val="60E51841"/>
    <w:rsid w:val="60E7738A"/>
    <w:rsid w:val="60EF0F7F"/>
    <w:rsid w:val="60F90C00"/>
    <w:rsid w:val="60FD3115"/>
    <w:rsid w:val="61110088"/>
    <w:rsid w:val="61306E54"/>
    <w:rsid w:val="61421EFD"/>
    <w:rsid w:val="61457124"/>
    <w:rsid w:val="61470DAC"/>
    <w:rsid w:val="61507CAF"/>
    <w:rsid w:val="615C5041"/>
    <w:rsid w:val="61631B5D"/>
    <w:rsid w:val="617874FC"/>
    <w:rsid w:val="617A6EE7"/>
    <w:rsid w:val="617B67FA"/>
    <w:rsid w:val="617E7C88"/>
    <w:rsid w:val="6182260C"/>
    <w:rsid w:val="6197606A"/>
    <w:rsid w:val="61996169"/>
    <w:rsid w:val="619B60ED"/>
    <w:rsid w:val="61A773BF"/>
    <w:rsid w:val="61AD68BC"/>
    <w:rsid w:val="61AE5BE1"/>
    <w:rsid w:val="61B059A0"/>
    <w:rsid w:val="61B173D2"/>
    <w:rsid w:val="61D43510"/>
    <w:rsid w:val="61D43A2B"/>
    <w:rsid w:val="61DB52BD"/>
    <w:rsid w:val="61E34474"/>
    <w:rsid w:val="61FF316E"/>
    <w:rsid w:val="621542CB"/>
    <w:rsid w:val="62172EDA"/>
    <w:rsid w:val="622D1EC0"/>
    <w:rsid w:val="62363666"/>
    <w:rsid w:val="623E513D"/>
    <w:rsid w:val="623F0B7F"/>
    <w:rsid w:val="624263A2"/>
    <w:rsid w:val="62456541"/>
    <w:rsid w:val="625272C3"/>
    <w:rsid w:val="6260007B"/>
    <w:rsid w:val="6260306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806A3"/>
    <w:rsid w:val="62BA7A46"/>
    <w:rsid w:val="62C376AC"/>
    <w:rsid w:val="62CE13CB"/>
    <w:rsid w:val="62D2197B"/>
    <w:rsid w:val="62DB028F"/>
    <w:rsid w:val="62F05276"/>
    <w:rsid w:val="62F6011A"/>
    <w:rsid w:val="62FD2BA9"/>
    <w:rsid w:val="630C6A8F"/>
    <w:rsid w:val="6327422B"/>
    <w:rsid w:val="6328597C"/>
    <w:rsid w:val="632A029E"/>
    <w:rsid w:val="632D44D6"/>
    <w:rsid w:val="632F2F8E"/>
    <w:rsid w:val="63314C2A"/>
    <w:rsid w:val="633B249F"/>
    <w:rsid w:val="63552D76"/>
    <w:rsid w:val="6359778B"/>
    <w:rsid w:val="635B63E3"/>
    <w:rsid w:val="63653E26"/>
    <w:rsid w:val="63654417"/>
    <w:rsid w:val="638B5C1C"/>
    <w:rsid w:val="638C3395"/>
    <w:rsid w:val="63927E66"/>
    <w:rsid w:val="639C2AFB"/>
    <w:rsid w:val="63A163DD"/>
    <w:rsid w:val="63B82D87"/>
    <w:rsid w:val="63BA3154"/>
    <w:rsid w:val="63CA2E8B"/>
    <w:rsid w:val="63D4153E"/>
    <w:rsid w:val="63DC7755"/>
    <w:rsid w:val="63E05970"/>
    <w:rsid w:val="63E43D21"/>
    <w:rsid w:val="63E97377"/>
    <w:rsid w:val="63EA4DF9"/>
    <w:rsid w:val="63F47D2A"/>
    <w:rsid w:val="63FE2D33"/>
    <w:rsid w:val="64046427"/>
    <w:rsid w:val="64093832"/>
    <w:rsid w:val="64264A79"/>
    <w:rsid w:val="64290161"/>
    <w:rsid w:val="642D0D23"/>
    <w:rsid w:val="64304E58"/>
    <w:rsid w:val="64311867"/>
    <w:rsid w:val="64391ED3"/>
    <w:rsid w:val="64426B0C"/>
    <w:rsid w:val="6445632E"/>
    <w:rsid w:val="644D291F"/>
    <w:rsid w:val="644D3D02"/>
    <w:rsid w:val="645C7EA7"/>
    <w:rsid w:val="64742B63"/>
    <w:rsid w:val="647E661E"/>
    <w:rsid w:val="648939AA"/>
    <w:rsid w:val="64897A59"/>
    <w:rsid w:val="648C635C"/>
    <w:rsid w:val="64917F67"/>
    <w:rsid w:val="64927F4F"/>
    <w:rsid w:val="649B1AC2"/>
    <w:rsid w:val="64A7467B"/>
    <w:rsid w:val="64B53322"/>
    <w:rsid w:val="64C61AF8"/>
    <w:rsid w:val="64C70058"/>
    <w:rsid w:val="64C86505"/>
    <w:rsid w:val="64D60913"/>
    <w:rsid w:val="64EC5D31"/>
    <w:rsid w:val="64F132B2"/>
    <w:rsid w:val="64F929D3"/>
    <w:rsid w:val="64FE700F"/>
    <w:rsid w:val="6500327F"/>
    <w:rsid w:val="6506609B"/>
    <w:rsid w:val="65083216"/>
    <w:rsid w:val="6508621E"/>
    <w:rsid w:val="65092761"/>
    <w:rsid w:val="653300A4"/>
    <w:rsid w:val="65460728"/>
    <w:rsid w:val="654F5DCC"/>
    <w:rsid w:val="655A04C2"/>
    <w:rsid w:val="65741425"/>
    <w:rsid w:val="65787DED"/>
    <w:rsid w:val="657E77AB"/>
    <w:rsid w:val="657F4212"/>
    <w:rsid w:val="65805F51"/>
    <w:rsid w:val="65822810"/>
    <w:rsid w:val="65870C45"/>
    <w:rsid w:val="65961885"/>
    <w:rsid w:val="659705FF"/>
    <w:rsid w:val="65A5156E"/>
    <w:rsid w:val="65A671FC"/>
    <w:rsid w:val="65AA6346"/>
    <w:rsid w:val="65B07458"/>
    <w:rsid w:val="65B51269"/>
    <w:rsid w:val="65B56C47"/>
    <w:rsid w:val="65B8262E"/>
    <w:rsid w:val="65BC15EE"/>
    <w:rsid w:val="65D11D0C"/>
    <w:rsid w:val="65D21E90"/>
    <w:rsid w:val="65D23D59"/>
    <w:rsid w:val="65D4773F"/>
    <w:rsid w:val="65DC5939"/>
    <w:rsid w:val="65DC7985"/>
    <w:rsid w:val="65DE3583"/>
    <w:rsid w:val="65E671BD"/>
    <w:rsid w:val="65EA2A9F"/>
    <w:rsid w:val="65F14641"/>
    <w:rsid w:val="65F5655C"/>
    <w:rsid w:val="65F64F18"/>
    <w:rsid w:val="66052F43"/>
    <w:rsid w:val="6609487E"/>
    <w:rsid w:val="66143184"/>
    <w:rsid w:val="661D25CE"/>
    <w:rsid w:val="66206CF2"/>
    <w:rsid w:val="66244029"/>
    <w:rsid w:val="66265846"/>
    <w:rsid w:val="66287C9C"/>
    <w:rsid w:val="662D4566"/>
    <w:rsid w:val="662E4097"/>
    <w:rsid w:val="664470E3"/>
    <w:rsid w:val="66475F5D"/>
    <w:rsid w:val="664805B8"/>
    <w:rsid w:val="665572E9"/>
    <w:rsid w:val="66580005"/>
    <w:rsid w:val="665A078F"/>
    <w:rsid w:val="665B55EA"/>
    <w:rsid w:val="66641D58"/>
    <w:rsid w:val="66655F85"/>
    <w:rsid w:val="667C7AEC"/>
    <w:rsid w:val="66863A0F"/>
    <w:rsid w:val="668D465E"/>
    <w:rsid w:val="66984358"/>
    <w:rsid w:val="669903D3"/>
    <w:rsid w:val="669B7C76"/>
    <w:rsid w:val="669D04F1"/>
    <w:rsid w:val="66A200F8"/>
    <w:rsid w:val="66A30EC2"/>
    <w:rsid w:val="66A31FD2"/>
    <w:rsid w:val="66A73BC0"/>
    <w:rsid w:val="66AA4BA8"/>
    <w:rsid w:val="66AE0365"/>
    <w:rsid w:val="66C56058"/>
    <w:rsid w:val="66C955BD"/>
    <w:rsid w:val="66CE061A"/>
    <w:rsid w:val="66D97420"/>
    <w:rsid w:val="66DC317D"/>
    <w:rsid w:val="66E10E78"/>
    <w:rsid w:val="66E617C5"/>
    <w:rsid w:val="66E910C9"/>
    <w:rsid w:val="66F10C90"/>
    <w:rsid w:val="66F256A0"/>
    <w:rsid w:val="66F759A4"/>
    <w:rsid w:val="6700407C"/>
    <w:rsid w:val="670260F2"/>
    <w:rsid w:val="670C6D27"/>
    <w:rsid w:val="670D67CE"/>
    <w:rsid w:val="67105BAB"/>
    <w:rsid w:val="671578AF"/>
    <w:rsid w:val="671B1631"/>
    <w:rsid w:val="6721093A"/>
    <w:rsid w:val="672514BE"/>
    <w:rsid w:val="67253254"/>
    <w:rsid w:val="67302DC3"/>
    <w:rsid w:val="673762BE"/>
    <w:rsid w:val="674318B2"/>
    <w:rsid w:val="674D4B22"/>
    <w:rsid w:val="67570422"/>
    <w:rsid w:val="675D31B4"/>
    <w:rsid w:val="675D63FF"/>
    <w:rsid w:val="676B3A19"/>
    <w:rsid w:val="676D2F4B"/>
    <w:rsid w:val="677A266A"/>
    <w:rsid w:val="677C1A81"/>
    <w:rsid w:val="677E7198"/>
    <w:rsid w:val="67851681"/>
    <w:rsid w:val="67871AEB"/>
    <w:rsid w:val="678A426A"/>
    <w:rsid w:val="67914BE1"/>
    <w:rsid w:val="67984863"/>
    <w:rsid w:val="67A01F16"/>
    <w:rsid w:val="67B163D1"/>
    <w:rsid w:val="67B26B8D"/>
    <w:rsid w:val="67B62747"/>
    <w:rsid w:val="67CA69AB"/>
    <w:rsid w:val="67DE72F8"/>
    <w:rsid w:val="67E81D04"/>
    <w:rsid w:val="67EF299C"/>
    <w:rsid w:val="67F45538"/>
    <w:rsid w:val="67F66B9D"/>
    <w:rsid w:val="67FD2BAD"/>
    <w:rsid w:val="680239EB"/>
    <w:rsid w:val="68042CB4"/>
    <w:rsid w:val="680722DA"/>
    <w:rsid w:val="6809309C"/>
    <w:rsid w:val="6810335D"/>
    <w:rsid w:val="68120E37"/>
    <w:rsid w:val="681306CB"/>
    <w:rsid w:val="682211D1"/>
    <w:rsid w:val="6842054B"/>
    <w:rsid w:val="684B40A8"/>
    <w:rsid w:val="685B4737"/>
    <w:rsid w:val="685C6395"/>
    <w:rsid w:val="686318DD"/>
    <w:rsid w:val="68635145"/>
    <w:rsid w:val="687F607E"/>
    <w:rsid w:val="688C4213"/>
    <w:rsid w:val="688D4D1E"/>
    <w:rsid w:val="68916B30"/>
    <w:rsid w:val="68936260"/>
    <w:rsid w:val="68950378"/>
    <w:rsid w:val="68984999"/>
    <w:rsid w:val="689A41FB"/>
    <w:rsid w:val="689C2BAE"/>
    <w:rsid w:val="689E57F0"/>
    <w:rsid w:val="68A34C5C"/>
    <w:rsid w:val="68B44788"/>
    <w:rsid w:val="68B96277"/>
    <w:rsid w:val="68C66268"/>
    <w:rsid w:val="68C8327F"/>
    <w:rsid w:val="68CB18F4"/>
    <w:rsid w:val="68DF0626"/>
    <w:rsid w:val="68E16F33"/>
    <w:rsid w:val="68E24981"/>
    <w:rsid w:val="68E95F71"/>
    <w:rsid w:val="68FB7D61"/>
    <w:rsid w:val="690218CF"/>
    <w:rsid w:val="69033A72"/>
    <w:rsid w:val="69093C6F"/>
    <w:rsid w:val="690A6A65"/>
    <w:rsid w:val="69123F86"/>
    <w:rsid w:val="69136384"/>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5442"/>
    <w:rsid w:val="698C13C5"/>
    <w:rsid w:val="69BC3ADF"/>
    <w:rsid w:val="69CF39A4"/>
    <w:rsid w:val="69D306AC"/>
    <w:rsid w:val="69E00E47"/>
    <w:rsid w:val="69EC6D9F"/>
    <w:rsid w:val="69EE73C1"/>
    <w:rsid w:val="69F0745A"/>
    <w:rsid w:val="69F66961"/>
    <w:rsid w:val="6A0961EA"/>
    <w:rsid w:val="6A0D20F2"/>
    <w:rsid w:val="6A1742A1"/>
    <w:rsid w:val="6A1B7C83"/>
    <w:rsid w:val="6A1C4CE3"/>
    <w:rsid w:val="6A1D59EC"/>
    <w:rsid w:val="6A2353D4"/>
    <w:rsid w:val="6A247F72"/>
    <w:rsid w:val="6A3131E1"/>
    <w:rsid w:val="6A3E2393"/>
    <w:rsid w:val="6A435B92"/>
    <w:rsid w:val="6A444DB8"/>
    <w:rsid w:val="6A4C10CF"/>
    <w:rsid w:val="6A4D4828"/>
    <w:rsid w:val="6A4D6D96"/>
    <w:rsid w:val="6A516AC3"/>
    <w:rsid w:val="6A5303BA"/>
    <w:rsid w:val="6A5F3F1C"/>
    <w:rsid w:val="6A677080"/>
    <w:rsid w:val="6A6C5C1E"/>
    <w:rsid w:val="6A711183"/>
    <w:rsid w:val="6A7468D5"/>
    <w:rsid w:val="6A790E3A"/>
    <w:rsid w:val="6A7B4B9C"/>
    <w:rsid w:val="6A7E1AAF"/>
    <w:rsid w:val="6A84768F"/>
    <w:rsid w:val="6A917541"/>
    <w:rsid w:val="6A9C00F5"/>
    <w:rsid w:val="6AA35330"/>
    <w:rsid w:val="6AA37512"/>
    <w:rsid w:val="6AAC0B91"/>
    <w:rsid w:val="6AAF014C"/>
    <w:rsid w:val="6AC07690"/>
    <w:rsid w:val="6ACB082B"/>
    <w:rsid w:val="6AD3247E"/>
    <w:rsid w:val="6AD716BA"/>
    <w:rsid w:val="6AE21187"/>
    <w:rsid w:val="6AE4699C"/>
    <w:rsid w:val="6AF124EA"/>
    <w:rsid w:val="6AF317C6"/>
    <w:rsid w:val="6AF64D9A"/>
    <w:rsid w:val="6B09696B"/>
    <w:rsid w:val="6B0B21E1"/>
    <w:rsid w:val="6B1235B7"/>
    <w:rsid w:val="6B127D23"/>
    <w:rsid w:val="6B1876E0"/>
    <w:rsid w:val="6B2167BD"/>
    <w:rsid w:val="6B2B0EFD"/>
    <w:rsid w:val="6B2C13E4"/>
    <w:rsid w:val="6B2D2EEB"/>
    <w:rsid w:val="6B346460"/>
    <w:rsid w:val="6B402494"/>
    <w:rsid w:val="6B410613"/>
    <w:rsid w:val="6B4B0A4C"/>
    <w:rsid w:val="6B4B36C9"/>
    <w:rsid w:val="6B4E75E6"/>
    <w:rsid w:val="6B50310B"/>
    <w:rsid w:val="6B5045E2"/>
    <w:rsid w:val="6B517D2C"/>
    <w:rsid w:val="6B5B3B9E"/>
    <w:rsid w:val="6B5C4553"/>
    <w:rsid w:val="6B5C5561"/>
    <w:rsid w:val="6B603DA2"/>
    <w:rsid w:val="6B695848"/>
    <w:rsid w:val="6B713683"/>
    <w:rsid w:val="6B730045"/>
    <w:rsid w:val="6B736A2E"/>
    <w:rsid w:val="6B874340"/>
    <w:rsid w:val="6B884219"/>
    <w:rsid w:val="6B8A6FE8"/>
    <w:rsid w:val="6B90781F"/>
    <w:rsid w:val="6B907DB6"/>
    <w:rsid w:val="6B961E42"/>
    <w:rsid w:val="6BA6663C"/>
    <w:rsid w:val="6BA9194F"/>
    <w:rsid w:val="6BB81A6C"/>
    <w:rsid w:val="6BE51CE3"/>
    <w:rsid w:val="6BE622E5"/>
    <w:rsid w:val="6BE727F5"/>
    <w:rsid w:val="6C0858B3"/>
    <w:rsid w:val="6C0C7835"/>
    <w:rsid w:val="6C1B11A9"/>
    <w:rsid w:val="6C240DF3"/>
    <w:rsid w:val="6C246740"/>
    <w:rsid w:val="6C273465"/>
    <w:rsid w:val="6C41527C"/>
    <w:rsid w:val="6C4367F5"/>
    <w:rsid w:val="6C45610F"/>
    <w:rsid w:val="6C550EC6"/>
    <w:rsid w:val="6C59472D"/>
    <w:rsid w:val="6C5A4564"/>
    <w:rsid w:val="6C5E0510"/>
    <w:rsid w:val="6C603744"/>
    <w:rsid w:val="6C610784"/>
    <w:rsid w:val="6C637CCF"/>
    <w:rsid w:val="6C6448C0"/>
    <w:rsid w:val="6C6F3F6B"/>
    <w:rsid w:val="6C731C6C"/>
    <w:rsid w:val="6C733992"/>
    <w:rsid w:val="6C7802EB"/>
    <w:rsid w:val="6C89456C"/>
    <w:rsid w:val="6C8964AD"/>
    <w:rsid w:val="6C9611B5"/>
    <w:rsid w:val="6CA20D5B"/>
    <w:rsid w:val="6CB71894"/>
    <w:rsid w:val="6CD431E3"/>
    <w:rsid w:val="6CD50C99"/>
    <w:rsid w:val="6CD63FB3"/>
    <w:rsid w:val="6CDD06CC"/>
    <w:rsid w:val="6CDF2E4F"/>
    <w:rsid w:val="6CFB0ED9"/>
    <w:rsid w:val="6CFE035F"/>
    <w:rsid w:val="6CFF5623"/>
    <w:rsid w:val="6D000552"/>
    <w:rsid w:val="6D056EA6"/>
    <w:rsid w:val="6D13119B"/>
    <w:rsid w:val="6D1766A9"/>
    <w:rsid w:val="6D221E52"/>
    <w:rsid w:val="6D227835"/>
    <w:rsid w:val="6D2663D9"/>
    <w:rsid w:val="6D2834C8"/>
    <w:rsid w:val="6D2F1F0B"/>
    <w:rsid w:val="6D3C6626"/>
    <w:rsid w:val="6D3E495C"/>
    <w:rsid w:val="6D441C30"/>
    <w:rsid w:val="6D456747"/>
    <w:rsid w:val="6D5D0DB5"/>
    <w:rsid w:val="6D6855B1"/>
    <w:rsid w:val="6D7B4AB7"/>
    <w:rsid w:val="6D836C02"/>
    <w:rsid w:val="6D874AC3"/>
    <w:rsid w:val="6D89784B"/>
    <w:rsid w:val="6D9057BE"/>
    <w:rsid w:val="6D9E0566"/>
    <w:rsid w:val="6DA005C5"/>
    <w:rsid w:val="6DB10625"/>
    <w:rsid w:val="6DBE7F27"/>
    <w:rsid w:val="6DCE093E"/>
    <w:rsid w:val="6DCF21B6"/>
    <w:rsid w:val="6DD13295"/>
    <w:rsid w:val="6DDC5249"/>
    <w:rsid w:val="6DF43BD4"/>
    <w:rsid w:val="6E0E1FAB"/>
    <w:rsid w:val="6E1D22B5"/>
    <w:rsid w:val="6E2143FB"/>
    <w:rsid w:val="6E2241BE"/>
    <w:rsid w:val="6E235490"/>
    <w:rsid w:val="6E317378"/>
    <w:rsid w:val="6E35795C"/>
    <w:rsid w:val="6E374904"/>
    <w:rsid w:val="6E3C077F"/>
    <w:rsid w:val="6E3E5591"/>
    <w:rsid w:val="6E4215C6"/>
    <w:rsid w:val="6E457BF6"/>
    <w:rsid w:val="6E4B0158"/>
    <w:rsid w:val="6E4D611F"/>
    <w:rsid w:val="6E541F70"/>
    <w:rsid w:val="6E567C9E"/>
    <w:rsid w:val="6E574242"/>
    <w:rsid w:val="6E635028"/>
    <w:rsid w:val="6E636A71"/>
    <w:rsid w:val="6E685B0A"/>
    <w:rsid w:val="6E6C7503"/>
    <w:rsid w:val="6E6C7BFA"/>
    <w:rsid w:val="6E6E0DBB"/>
    <w:rsid w:val="6E73404A"/>
    <w:rsid w:val="6E7355AA"/>
    <w:rsid w:val="6E7C0353"/>
    <w:rsid w:val="6E7D300B"/>
    <w:rsid w:val="6E823708"/>
    <w:rsid w:val="6E920B3F"/>
    <w:rsid w:val="6E920B5B"/>
    <w:rsid w:val="6E990B16"/>
    <w:rsid w:val="6EAC6424"/>
    <w:rsid w:val="6EB169D3"/>
    <w:rsid w:val="6EB21539"/>
    <w:rsid w:val="6EB32B21"/>
    <w:rsid w:val="6EB829B1"/>
    <w:rsid w:val="6EB978A9"/>
    <w:rsid w:val="6EBE4B08"/>
    <w:rsid w:val="6EBF71F5"/>
    <w:rsid w:val="6EC45F46"/>
    <w:rsid w:val="6ECC3A24"/>
    <w:rsid w:val="6ECD7C9F"/>
    <w:rsid w:val="6ED0689A"/>
    <w:rsid w:val="6ED86D3E"/>
    <w:rsid w:val="6EE9744F"/>
    <w:rsid w:val="6EEC3F7C"/>
    <w:rsid w:val="6EF3602C"/>
    <w:rsid w:val="6EFE1485"/>
    <w:rsid w:val="6F031F8E"/>
    <w:rsid w:val="6F0D382C"/>
    <w:rsid w:val="6F0F0878"/>
    <w:rsid w:val="6F1502CF"/>
    <w:rsid w:val="6F2632E8"/>
    <w:rsid w:val="6F30363A"/>
    <w:rsid w:val="6F3316E5"/>
    <w:rsid w:val="6F393031"/>
    <w:rsid w:val="6F3F40F9"/>
    <w:rsid w:val="6F5E0205"/>
    <w:rsid w:val="6F5F15C8"/>
    <w:rsid w:val="6F5F4FCB"/>
    <w:rsid w:val="6F6F14E1"/>
    <w:rsid w:val="6F86160F"/>
    <w:rsid w:val="6F884D8A"/>
    <w:rsid w:val="6F89712B"/>
    <w:rsid w:val="6F967320"/>
    <w:rsid w:val="6F983C13"/>
    <w:rsid w:val="6F983DCD"/>
    <w:rsid w:val="6FA629D4"/>
    <w:rsid w:val="6FA75ADB"/>
    <w:rsid w:val="6FAF2E30"/>
    <w:rsid w:val="6FB77ED4"/>
    <w:rsid w:val="6FBA2FDB"/>
    <w:rsid w:val="6FBC4F07"/>
    <w:rsid w:val="6FBD4D2F"/>
    <w:rsid w:val="6FBF4710"/>
    <w:rsid w:val="6FC9109F"/>
    <w:rsid w:val="6FDB518F"/>
    <w:rsid w:val="6FE529ED"/>
    <w:rsid w:val="6FEF54BA"/>
    <w:rsid w:val="6FF733A7"/>
    <w:rsid w:val="6FFD777F"/>
    <w:rsid w:val="70003DD9"/>
    <w:rsid w:val="70072915"/>
    <w:rsid w:val="70172090"/>
    <w:rsid w:val="70195E88"/>
    <w:rsid w:val="701D43BA"/>
    <w:rsid w:val="702B6F43"/>
    <w:rsid w:val="7030429F"/>
    <w:rsid w:val="7032079E"/>
    <w:rsid w:val="70375C5A"/>
    <w:rsid w:val="703947D7"/>
    <w:rsid w:val="703C186A"/>
    <w:rsid w:val="70570007"/>
    <w:rsid w:val="705838F6"/>
    <w:rsid w:val="705843B4"/>
    <w:rsid w:val="706417AF"/>
    <w:rsid w:val="70655A58"/>
    <w:rsid w:val="707263E0"/>
    <w:rsid w:val="707A326C"/>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71463"/>
    <w:rsid w:val="70E936CD"/>
    <w:rsid w:val="70EE2F9A"/>
    <w:rsid w:val="70FA6D60"/>
    <w:rsid w:val="70FC2D1E"/>
    <w:rsid w:val="71015D6B"/>
    <w:rsid w:val="71115386"/>
    <w:rsid w:val="71151975"/>
    <w:rsid w:val="71220857"/>
    <w:rsid w:val="71222C53"/>
    <w:rsid w:val="71336A65"/>
    <w:rsid w:val="71420C02"/>
    <w:rsid w:val="71477682"/>
    <w:rsid w:val="715250B6"/>
    <w:rsid w:val="71545B37"/>
    <w:rsid w:val="71570E43"/>
    <w:rsid w:val="71573E01"/>
    <w:rsid w:val="71597452"/>
    <w:rsid w:val="71702748"/>
    <w:rsid w:val="71862E8D"/>
    <w:rsid w:val="71867894"/>
    <w:rsid w:val="718B0CD8"/>
    <w:rsid w:val="719F7A78"/>
    <w:rsid w:val="71A73EB4"/>
    <w:rsid w:val="71AD06DE"/>
    <w:rsid w:val="71B25E63"/>
    <w:rsid w:val="71B30ACA"/>
    <w:rsid w:val="71B623F6"/>
    <w:rsid w:val="71C7540C"/>
    <w:rsid w:val="71E41366"/>
    <w:rsid w:val="71ED2496"/>
    <w:rsid w:val="71F14FC5"/>
    <w:rsid w:val="71F64A63"/>
    <w:rsid w:val="71F870B8"/>
    <w:rsid w:val="7200001E"/>
    <w:rsid w:val="72021233"/>
    <w:rsid w:val="720B2A1D"/>
    <w:rsid w:val="72147937"/>
    <w:rsid w:val="72175F5D"/>
    <w:rsid w:val="72327665"/>
    <w:rsid w:val="72346B55"/>
    <w:rsid w:val="72393291"/>
    <w:rsid w:val="723959DC"/>
    <w:rsid w:val="723E7E80"/>
    <w:rsid w:val="724B5FB3"/>
    <w:rsid w:val="724C3314"/>
    <w:rsid w:val="72502F9F"/>
    <w:rsid w:val="72514753"/>
    <w:rsid w:val="72524B90"/>
    <w:rsid w:val="725817D3"/>
    <w:rsid w:val="725B3685"/>
    <w:rsid w:val="726E6AD4"/>
    <w:rsid w:val="727C422C"/>
    <w:rsid w:val="727C7861"/>
    <w:rsid w:val="728E71EE"/>
    <w:rsid w:val="7292045A"/>
    <w:rsid w:val="72974DBE"/>
    <w:rsid w:val="72A20C20"/>
    <w:rsid w:val="72AC5E95"/>
    <w:rsid w:val="72B104F9"/>
    <w:rsid w:val="72B149A7"/>
    <w:rsid w:val="72B81A8A"/>
    <w:rsid w:val="72BD018D"/>
    <w:rsid w:val="72C13ED7"/>
    <w:rsid w:val="72C33F7A"/>
    <w:rsid w:val="72CF1AC7"/>
    <w:rsid w:val="72CF396A"/>
    <w:rsid w:val="72D61814"/>
    <w:rsid w:val="72E42AFA"/>
    <w:rsid w:val="72E85578"/>
    <w:rsid w:val="72EB4466"/>
    <w:rsid w:val="72F034F4"/>
    <w:rsid w:val="72F03FD6"/>
    <w:rsid w:val="72FD426E"/>
    <w:rsid w:val="73005DAB"/>
    <w:rsid w:val="730162BB"/>
    <w:rsid w:val="730275C0"/>
    <w:rsid w:val="73043CFC"/>
    <w:rsid w:val="731A0595"/>
    <w:rsid w:val="732B736C"/>
    <w:rsid w:val="732C334F"/>
    <w:rsid w:val="73303587"/>
    <w:rsid w:val="7349599B"/>
    <w:rsid w:val="734F0C79"/>
    <w:rsid w:val="734F4185"/>
    <w:rsid w:val="73520620"/>
    <w:rsid w:val="735206FC"/>
    <w:rsid w:val="7363274A"/>
    <w:rsid w:val="736462D9"/>
    <w:rsid w:val="73691A4A"/>
    <w:rsid w:val="737025EA"/>
    <w:rsid w:val="7371152B"/>
    <w:rsid w:val="73736DAC"/>
    <w:rsid w:val="73777B4D"/>
    <w:rsid w:val="737D6CF9"/>
    <w:rsid w:val="7383627D"/>
    <w:rsid w:val="73856458"/>
    <w:rsid w:val="738A6895"/>
    <w:rsid w:val="73917325"/>
    <w:rsid w:val="7395427D"/>
    <w:rsid w:val="73A023A1"/>
    <w:rsid w:val="73A558B6"/>
    <w:rsid w:val="73B047C3"/>
    <w:rsid w:val="73B62302"/>
    <w:rsid w:val="73BC7089"/>
    <w:rsid w:val="73BE7067"/>
    <w:rsid w:val="73C34124"/>
    <w:rsid w:val="73DC33F5"/>
    <w:rsid w:val="73E406FD"/>
    <w:rsid w:val="73E52294"/>
    <w:rsid w:val="73EC5464"/>
    <w:rsid w:val="73FF2D64"/>
    <w:rsid w:val="7403656F"/>
    <w:rsid w:val="740F108B"/>
    <w:rsid w:val="74137154"/>
    <w:rsid w:val="741C7D0C"/>
    <w:rsid w:val="741E6FE6"/>
    <w:rsid w:val="741F2652"/>
    <w:rsid w:val="7421310D"/>
    <w:rsid w:val="74257F79"/>
    <w:rsid w:val="74273820"/>
    <w:rsid w:val="7427471C"/>
    <w:rsid w:val="74330EFD"/>
    <w:rsid w:val="74355B0B"/>
    <w:rsid w:val="7436670E"/>
    <w:rsid w:val="743C7157"/>
    <w:rsid w:val="74416F54"/>
    <w:rsid w:val="744B354F"/>
    <w:rsid w:val="7450294E"/>
    <w:rsid w:val="74543139"/>
    <w:rsid w:val="746651C8"/>
    <w:rsid w:val="746B732F"/>
    <w:rsid w:val="746C377D"/>
    <w:rsid w:val="746E18CB"/>
    <w:rsid w:val="746F3904"/>
    <w:rsid w:val="7473071B"/>
    <w:rsid w:val="748D52FA"/>
    <w:rsid w:val="748D6EB4"/>
    <w:rsid w:val="74993216"/>
    <w:rsid w:val="749C4933"/>
    <w:rsid w:val="74A122CC"/>
    <w:rsid w:val="74A756F2"/>
    <w:rsid w:val="74B44784"/>
    <w:rsid w:val="74B808BF"/>
    <w:rsid w:val="74C03187"/>
    <w:rsid w:val="74C06691"/>
    <w:rsid w:val="74DE6B05"/>
    <w:rsid w:val="74E4756E"/>
    <w:rsid w:val="74E86DF6"/>
    <w:rsid w:val="74EB43B2"/>
    <w:rsid w:val="74ED19FF"/>
    <w:rsid w:val="74F747A8"/>
    <w:rsid w:val="74F805A6"/>
    <w:rsid w:val="7506779E"/>
    <w:rsid w:val="75084E8F"/>
    <w:rsid w:val="7509261E"/>
    <w:rsid w:val="750B5416"/>
    <w:rsid w:val="750F16AB"/>
    <w:rsid w:val="751F612D"/>
    <w:rsid w:val="75202656"/>
    <w:rsid w:val="752231CE"/>
    <w:rsid w:val="7537255A"/>
    <w:rsid w:val="75396D51"/>
    <w:rsid w:val="75434B0A"/>
    <w:rsid w:val="75581C92"/>
    <w:rsid w:val="75752B04"/>
    <w:rsid w:val="757D3665"/>
    <w:rsid w:val="758910BB"/>
    <w:rsid w:val="75955DA9"/>
    <w:rsid w:val="75977910"/>
    <w:rsid w:val="759C00A8"/>
    <w:rsid w:val="759F178F"/>
    <w:rsid w:val="759F2A35"/>
    <w:rsid w:val="75B15C41"/>
    <w:rsid w:val="75BB4EC5"/>
    <w:rsid w:val="75CC5191"/>
    <w:rsid w:val="75D12923"/>
    <w:rsid w:val="75E6623C"/>
    <w:rsid w:val="75EA364B"/>
    <w:rsid w:val="75F20996"/>
    <w:rsid w:val="75F93477"/>
    <w:rsid w:val="75F96973"/>
    <w:rsid w:val="75FE5FB4"/>
    <w:rsid w:val="75FF7EA2"/>
    <w:rsid w:val="760E78C2"/>
    <w:rsid w:val="76123E1D"/>
    <w:rsid w:val="761270F3"/>
    <w:rsid w:val="7618556D"/>
    <w:rsid w:val="762A17C0"/>
    <w:rsid w:val="762E4274"/>
    <w:rsid w:val="762E6798"/>
    <w:rsid w:val="76301029"/>
    <w:rsid w:val="76387379"/>
    <w:rsid w:val="76425118"/>
    <w:rsid w:val="76473B19"/>
    <w:rsid w:val="7647727C"/>
    <w:rsid w:val="764838B9"/>
    <w:rsid w:val="764B15DA"/>
    <w:rsid w:val="764B5F41"/>
    <w:rsid w:val="764C09B4"/>
    <w:rsid w:val="764F5A52"/>
    <w:rsid w:val="7651184F"/>
    <w:rsid w:val="765E2788"/>
    <w:rsid w:val="76647980"/>
    <w:rsid w:val="766A4A0D"/>
    <w:rsid w:val="76725A45"/>
    <w:rsid w:val="767D1978"/>
    <w:rsid w:val="767F4BF8"/>
    <w:rsid w:val="768C454B"/>
    <w:rsid w:val="76910A96"/>
    <w:rsid w:val="7692667A"/>
    <w:rsid w:val="76982273"/>
    <w:rsid w:val="769A7352"/>
    <w:rsid w:val="76A177B8"/>
    <w:rsid w:val="76A562BA"/>
    <w:rsid w:val="76AD2761"/>
    <w:rsid w:val="76B64E53"/>
    <w:rsid w:val="76B8001A"/>
    <w:rsid w:val="76B81599"/>
    <w:rsid w:val="76BB2F21"/>
    <w:rsid w:val="76BB47BC"/>
    <w:rsid w:val="76BC314A"/>
    <w:rsid w:val="76C6523D"/>
    <w:rsid w:val="76CF29D3"/>
    <w:rsid w:val="76E422FF"/>
    <w:rsid w:val="76EB7E51"/>
    <w:rsid w:val="76EC51FD"/>
    <w:rsid w:val="76F00AAF"/>
    <w:rsid w:val="76F21658"/>
    <w:rsid w:val="76F410B8"/>
    <w:rsid w:val="76F70779"/>
    <w:rsid w:val="770A1659"/>
    <w:rsid w:val="771B67DF"/>
    <w:rsid w:val="77241319"/>
    <w:rsid w:val="77272CAB"/>
    <w:rsid w:val="772C0FCF"/>
    <w:rsid w:val="77304C77"/>
    <w:rsid w:val="77335384"/>
    <w:rsid w:val="77451578"/>
    <w:rsid w:val="77537908"/>
    <w:rsid w:val="77571758"/>
    <w:rsid w:val="77576666"/>
    <w:rsid w:val="775871DA"/>
    <w:rsid w:val="77591ED3"/>
    <w:rsid w:val="775C26D4"/>
    <w:rsid w:val="776677F4"/>
    <w:rsid w:val="77692EA3"/>
    <w:rsid w:val="776C305B"/>
    <w:rsid w:val="77796A0F"/>
    <w:rsid w:val="777E00B2"/>
    <w:rsid w:val="77825248"/>
    <w:rsid w:val="7785098B"/>
    <w:rsid w:val="77870D91"/>
    <w:rsid w:val="778A3229"/>
    <w:rsid w:val="779258CC"/>
    <w:rsid w:val="7794068F"/>
    <w:rsid w:val="779A096B"/>
    <w:rsid w:val="779B52FF"/>
    <w:rsid w:val="779D1A75"/>
    <w:rsid w:val="77A00E75"/>
    <w:rsid w:val="77A30552"/>
    <w:rsid w:val="77A80D17"/>
    <w:rsid w:val="77B2356F"/>
    <w:rsid w:val="77B841F3"/>
    <w:rsid w:val="77C078B1"/>
    <w:rsid w:val="77C6528F"/>
    <w:rsid w:val="77D44398"/>
    <w:rsid w:val="77DE5E93"/>
    <w:rsid w:val="77E66E3C"/>
    <w:rsid w:val="77F3789A"/>
    <w:rsid w:val="780326B9"/>
    <w:rsid w:val="780332E5"/>
    <w:rsid w:val="780A26AC"/>
    <w:rsid w:val="780B3500"/>
    <w:rsid w:val="782127F0"/>
    <w:rsid w:val="78271E5B"/>
    <w:rsid w:val="783201C2"/>
    <w:rsid w:val="7833711D"/>
    <w:rsid w:val="78460D63"/>
    <w:rsid w:val="78497C2E"/>
    <w:rsid w:val="78502D35"/>
    <w:rsid w:val="7854087B"/>
    <w:rsid w:val="78655EF6"/>
    <w:rsid w:val="786A4053"/>
    <w:rsid w:val="78782A0D"/>
    <w:rsid w:val="78785A2F"/>
    <w:rsid w:val="787B5060"/>
    <w:rsid w:val="787E0EB9"/>
    <w:rsid w:val="788720E7"/>
    <w:rsid w:val="789B58CF"/>
    <w:rsid w:val="78A90B04"/>
    <w:rsid w:val="78AA4E21"/>
    <w:rsid w:val="78AF6BB3"/>
    <w:rsid w:val="78C26D70"/>
    <w:rsid w:val="78C53485"/>
    <w:rsid w:val="78C6693F"/>
    <w:rsid w:val="78C76A01"/>
    <w:rsid w:val="78D508BC"/>
    <w:rsid w:val="78D6764B"/>
    <w:rsid w:val="78DF0E6D"/>
    <w:rsid w:val="78DF3BEC"/>
    <w:rsid w:val="78E3369B"/>
    <w:rsid w:val="78EC45D8"/>
    <w:rsid w:val="78EC6DF0"/>
    <w:rsid w:val="78F35E8F"/>
    <w:rsid w:val="78F5335B"/>
    <w:rsid w:val="790E39D2"/>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5F3849"/>
    <w:rsid w:val="79632967"/>
    <w:rsid w:val="7964574A"/>
    <w:rsid w:val="796D45D2"/>
    <w:rsid w:val="79804706"/>
    <w:rsid w:val="79807AE3"/>
    <w:rsid w:val="7988227D"/>
    <w:rsid w:val="79941CF2"/>
    <w:rsid w:val="79973382"/>
    <w:rsid w:val="79B03E5E"/>
    <w:rsid w:val="79B4353E"/>
    <w:rsid w:val="79BB4445"/>
    <w:rsid w:val="79D33056"/>
    <w:rsid w:val="79D715DF"/>
    <w:rsid w:val="79E14685"/>
    <w:rsid w:val="79EC0256"/>
    <w:rsid w:val="79F60153"/>
    <w:rsid w:val="79F84570"/>
    <w:rsid w:val="79FB6E2C"/>
    <w:rsid w:val="7A0E2780"/>
    <w:rsid w:val="7A36322F"/>
    <w:rsid w:val="7A4B21AB"/>
    <w:rsid w:val="7A4C2D60"/>
    <w:rsid w:val="7A5C5095"/>
    <w:rsid w:val="7A5E0869"/>
    <w:rsid w:val="7A620F06"/>
    <w:rsid w:val="7A6E38A0"/>
    <w:rsid w:val="7A6E4BF5"/>
    <w:rsid w:val="7A7206CB"/>
    <w:rsid w:val="7A78261A"/>
    <w:rsid w:val="7A851D5D"/>
    <w:rsid w:val="7A8A2267"/>
    <w:rsid w:val="7AA5314C"/>
    <w:rsid w:val="7AAF50F0"/>
    <w:rsid w:val="7AB53126"/>
    <w:rsid w:val="7AB722E4"/>
    <w:rsid w:val="7AB76FE8"/>
    <w:rsid w:val="7AC06271"/>
    <w:rsid w:val="7AC73DFD"/>
    <w:rsid w:val="7AD268E2"/>
    <w:rsid w:val="7ADC0B33"/>
    <w:rsid w:val="7ADF72B5"/>
    <w:rsid w:val="7AE14C19"/>
    <w:rsid w:val="7AEA174E"/>
    <w:rsid w:val="7AEE2FE5"/>
    <w:rsid w:val="7AF1626C"/>
    <w:rsid w:val="7AFA134C"/>
    <w:rsid w:val="7B274176"/>
    <w:rsid w:val="7B276F1B"/>
    <w:rsid w:val="7B306163"/>
    <w:rsid w:val="7B31652B"/>
    <w:rsid w:val="7B3E17AA"/>
    <w:rsid w:val="7B401C79"/>
    <w:rsid w:val="7B440ED6"/>
    <w:rsid w:val="7B4678D7"/>
    <w:rsid w:val="7B4B2A93"/>
    <w:rsid w:val="7B527515"/>
    <w:rsid w:val="7B581154"/>
    <w:rsid w:val="7B5A589C"/>
    <w:rsid w:val="7B890A24"/>
    <w:rsid w:val="7B8A4A8A"/>
    <w:rsid w:val="7B8E265B"/>
    <w:rsid w:val="7B99266D"/>
    <w:rsid w:val="7BA44EC1"/>
    <w:rsid w:val="7BA54136"/>
    <w:rsid w:val="7BAA485C"/>
    <w:rsid w:val="7BAD1591"/>
    <w:rsid w:val="7BC04B6A"/>
    <w:rsid w:val="7BCD64C2"/>
    <w:rsid w:val="7BD100FC"/>
    <w:rsid w:val="7BD3716B"/>
    <w:rsid w:val="7BE24602"/>
    <w:rsid w:val="7BEC2711"/>
    <w:rsid w:val="7BF55850"/>
    <w:rsid w:val="7C050B07"/>
    <w:rsid w:val="7C1054B7"/>
    <w:rsid w:val="7C124CBC"/>
    <w:rsid w:val="7C26369C"/>
    <w:rsid w:val="7C281A4A"/>
    <w:rsid w:val="7C2A465C"/>
    <w:rsid w:val="7C305879"/>
    <w:rsid w:val="7C3133D9"/>
    <w:rsid w:val="7C34521A"/>
    <w:rsid w:val="7C4A2BD1"/>
    <w:rsid w:val="7C516EE4"/>
    <w:rsid w:val="7C576C70"/>
    <w:rsid w:val="7C5A2796"/>
    <w:rsid w:val="7C671AA5"/>
    <w:rsid w:val="7C6E4349"/>
    <w:rsid w:val="7C77043F"/>
    <w:rsid w:val="7C815ED2"/>
    <w:rsid w:val="7C8A7CDC"/>
    <w:rsid w:val="7C9E5A24"/>
    <w:rsid w:val="7C9F7EC8"/>
    <w:rsid w:val="7CB4006B"/>
    <w:rsid w:val="7CB93ABB"/>
    <w:rsid w:val="7CBB6FD3"/>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A1162"/>
    <w:rsid w:val="7D5B27C9"/>
    <w:rsid w:val="7D62117D"/>
    <w:rsid w:val="7D631D92"/>
    <w:rsid w:val="7D6B7F02"/>
    <w:rsid w:val="7D6E73B9"/>
    <w:rsid w:val="7D7D4E70"/>
    <w:rsid w:val="7D834A16"/>
    <w:rsid w:val="7D9D0A97"/>
    <w:rsid w:val="7D9D438F"/>
    <w:rsid w:val="7D9F5025"/>
    <w:rsid w:val="7DA514D2"/>
    <w:rsid w:val="7DA93224"/>
    <w:rsid w:val="7DBE6FBE"/>
    <w:rsid w:val="7DC03851"/>
    <w:rsid w:val="7DC51C1A"/>
    <w:rsid w:val="7DCD1A27"/>
    <w:rsid w:val="7DCD4739"/>
    <w:rsid w:val="7DCD4EB5"/>
    <w:rsid w:val="7DEC4723"/>
    <w:rsid w:val="7DFD4B87"/>
    <w:rsid w:val="7E090313"/>
    <w:rsid w:val="7E105142"/>
    <w:rsid w:val="7E3528B1"/>
    <w:rsid w:val="7E3E0FEC"/>
    <w:rsid w:val="7E3E1EF2"/>
    <w:rsid w:val="7E566EA2"/>
    <w:rsid w:val="7E5C1ABA"/>
    <w:rsid w:val="7E61281D"/>
    <w:rsid w:val="7E622778"/>
    <w:rsid w:val="7E64317E"/>
    <w:rsid w:val="7E756346"/>
    <w:rsid w:val="7E85174A"/>
    <w:rsid w:val="7E8B68B9"/>
    <w:rsid w:val="7EAA7C26"/>
    <w:rsid w:val="7EAB69D0"/>
    <w:rsid w:val="7EAF1FAA"/>
    <w:rsid w:val="7EB4653A"/>
    <w:rsid w:val="7EBC7B69"/>
    <w:rsid w:val="7EBE327E"/>
    <w:rsid w:val="7ECA4601"/>
    <w:rsid w:val="7ED07608"/>
    <w:rsid w:val="7EDC22AD"/>
    <w:rsid w:val="7EDE4C34"/>
    <w:rsid w:val="7EE34086"/>
    <w:rsid w:val="7EE5313E"/>
    <w:rsid w:val="7EE55F89"/>
    <w:rsid w:val="7EEB5719"/>
    <w:rsid w:val="7EF215E8"/>
    <w:rsid w:val="7EF525E1"/>
    <w:rsid w:val="7EF74FC9"/>
    <w:rsid w:val="7EFB0D19"/>
    <w:rsid w:val="7EFF7307"/>
    <w:rsid w:val="7EFF7828"/>
    <w:rsid w:val="7F000B6A"/>
    <w:rsid w:val="7F022EBD"/>
    <w:rsid w:val="7F0B5962"/>
    <w:rsid w:val="7F0C2035"/>
    <w:rsid w:val="7F0F7992"/>
    <w:rsid w:val="7F1B0865"/>
    <w:rsid w:val="7F271AA3"/>
    <w:rsid w:val="7F2B126A"/>
    <w:rsid w:val="7F4840C1"/>
    <w:rsid w:val="7F542B37"/>
    <w:rsid w:val="7F691199"/>
    <w:rsid w:val="7F6B2248"/>
    <w:rsid w:val="7F7B5AF0"/>
    <w:rsid w:val="7F7D7A8E"/>
    <w:rsid w:val="7F815141"/>
    <w:rsid w:val="7F872588"/>
    <w:rsid w:val="7F8725BA"/>
    <w:rsid w:val="7F8C6A8F"/>
    <w:rsid w:val="7F9C175D"/>
    <w:rsid w:val="7FA85877"/>
    <w:rsid w:val="7FAB3A81"/>
    <w:rsid w:val="7FB30D4E"/>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table" w:customStyle="1" w:styleId="80">
    <w:name w:val="TableGrid1"/>
    <w:basedOn w:val="22"/>
    <w:qFormat/>
    <w:uiPriority w:val="39"/>
    <w:pPr>
      <w:overflowPunct w:val="0"/>
      <w:autoSpaceDE w:val="0"/>
      <w:autoSpaceDN w:val="0"/>
      <w:adjustRightInd w:val="0"/>
      <w:spacing w:after="180"/>
      <w:textAlignment w:val="baseline"/>
    </w:pPr>
    <w:rPr>
      <w:rFonts w:ascii="Times New Roman" w:hAnsi="Times New Roman"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
    <w:name w:val="CH"/>
    <w:basedOn w:val="1"/>
    <w:qFormat/>
    <w:uiPriority w:val="0"/>
    <w:pPr>
      <w:tabs>
        <w:tab w:val="left" w:pos="2268"/>
        <w:tab w:val="right" w:pos="7920"/>
        <w:tab w:val="right" w:pos="9639"/>
      </w:tabs>
      <w:spacing w:after="0"/>
    </w:pPr>
    <w:rPr>
      <w:rFonts w:ascii="Arial" w:hAnsi="Arial" w:cs="Arial"/>
      <w:b/>
      <w:sz w:val="24"/>
    </w:rPr>
  </w:style>
  <w:style w:type="character" w:customStyle="1" w:styleId="82">
    <w:name w:val="via1"/>
    <w:basedOn w:val="24"/>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0</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2024-10-07T08:57:09Z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